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40688">
      <w:pPr>
        <w:spacing w:after="0" w:line="240" w:lineRule="auto"/>
        <w:ind w:left="-426"/>
        <w:jc w:val="center"/>
        <w:rPr>
          <w:rFonts w:hint="default" w:cstheme="minorHAnsi"/>
          <w:b/>
          <w:sz w:val="32"/>
          <w:lang w:val="hr-HR"/>
        </w:rPr>
      </w:pPr>
      <w:r>
        <w:rPr>
          <w:rFonts w:hint="default" w:cstheme="minorHAnsi"/>
          <w:b/>
          <w:sz w:val="32"/>
          <w:lang w:val="hr-HR"/>
        </w:rPr>
        <w:t>Andrea Akrap, Vesna Soldić</w:t>
      </w:r>
    </w:p>
    <w:p w14:paraId="069B755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4F032BD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DD74AB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75AF27A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6715068A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CA8BC44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604B5844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5860132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0E8A27F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7AEB8FB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  <w:r>
        <w:rPr>
          <w:rFonts w:cstheme="minorHAnsi"/>
          <w:b/>
          <w:sz w:val="40"/>
          <w:szCs w:val="36"/>
        </w:rPr>
        <w:t>KRITERIJI PRAĆENJA I OCJENJIVANJA</w:t>
      </w:r>
    </w:p>
    <w:p w14:paraId="44FB3CAA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(prema Kurikulima nastavnih predmeta)</w:t>
      </w:r>
    </w:p>
    <w:p w14:paraId="75532A89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1293AF60">
      <w:pPr>
        <w:spacing w:after="0" w:line="240" w:lineRule="auto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3.</w:t>
      </w:r>
      <w:r>
        <w:rPr>
          <w:rFonts w:hint="default" w:cstheme="minorHAnsi"/>
          <w:b/>
          <w:sz w:val="32"/>
          <w:lang w:val="hr-HR"/>
        </w:rPr>
        <w:t>a i 3.b</w:t>
      </w:r>
      <w:r>
        <w:rPr>
          <w:rFonts w:cstheme="minorHAnsi"/>
          <w:b/>
          <w:sz w:val="32"/>
        </w:rPr>
        <w:t xml:space="preserve"> razred </w:t>
      </w:r>
      <w:r>
        <w:rPr>
          <w:rFonts w:hint="default" w:cstheme="minorHAnsi"/>
          <w:b/>
          <w:sz w:val="32"/>
          <w:lang w:val="hr-HR"/>
        </w:rPr>
        <w:t>O</w:t>
      </w:r>
      <w:r>
        <w:rPr>
          <w:rFonts w:cstheme="minorHAnsi"/>
          <w:b/>
          <w:sz w:val="32"/>
        </w:rPr>
        <w:t>snovne škole Bartola Kašića Vinkovci</w:t>
      </w:r>
    </w:p>
    <w:p w14:paraId="46BBB50A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A1D1F32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A427D7B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3D4B9FE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2F004BD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CF29ABB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226CA2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652537CA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FDA3E7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29C0FC9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8166BB5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DAB8A9B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C898C73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bookmarkStart w:id="0" w:name="_GoBack"/>
      <w:bookmarkEnd w:id="0"/>
    </w:p>
    <w:p w14:paraId="65A7D4D3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KRITERIJI PRAĆENJA I OCJENJIVANJA</w:t>
      </w:r>
    </w:p>
    <w:p w14:paraId="729C967D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7C463291">
      <w:pPr>
        <w:spacing w:after="0" w:line="240" w:lineRule="auto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3. razred osnovne škole</w:t>
      </w:r>
    </w:p>
    <w:p w14:paraId="7B46B03A">
      <w:pPr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61E38DCA">
      <w:pPr>
        <w:ind w:firstLine="357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Prijedlog postotne skale za ocjenjivanje pisanih provjera </w:t>
      </w:r>
    </w:p>
    <w:tbl>
      <w:tblPr>
        <w:tblStyle w:val="8"/>
        <w:tblW w:w="0" w:type="auto"/>
        <w:tblInd w:w="26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3969"/>
      </w:tblGrid>
      <w:tr w14:paraId="5F150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shd w:val="clear" w:color="auto" w:fill="C5E0B3" w:themeFill="accent6" w:themeFillTint="66"/>
          </w:tcPr>
          <w:p w14:paraId="71C36DCC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POSTOTAK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71582F2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OCJENA</w:t>
            </w:r>
          </w:p>
        </w:tc>
      </w:tr>
      <w:tr w14:paraId="7BA6C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44C576E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  % – 50 %</w:t>
            </w:r>
          </w:p>
        </w:tc>
        <w:tc>
          <w:tcPr>
            <w:tcW w:w="3969" w:type="dxa"/>
          </w:tcPr>
          <w:p w14:paraId="6670422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nedovoljan (1)</w:t>
            </w:r>
          </w:p>
        </w:tc>
      </w:tr>
      <w:tr w14:paraId="0638A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4918213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51 %  - 63 %</w:t>
            </w:r>
          </w:p>
        </w:tc>
        <w:tc>
          <w:tcPr>
            <w:tcW w:w="3969" w:type="dxa"/>
          </w:tcPr>
          <w:p w14:paraId="3DBFE81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dovoljan (2)</w:t>
            </w:r>
          </w:p>
        </w:tc>
      </w:tr>
      <w:tr w14:paraId="21B93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458F636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64 % - 78 %</w:t>
            </w:r>
          </w:p>
        </w:tc>
        <w:tc>
          <w:tcPr>
            <w:tcW w:w="3969" w:type="dxa"/>
          </w:tcPr>
          <w:p w14:paraId="28E62F8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dobar (3)</w:t>
            </w:r>
          </w:p>
        </w:tc>
      </w:tr>
      <w:tr w14:paraId="45B68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59C1779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79% - 90 %</w:t>
            </w:r>
          </w:p>
        </w:tc>
        <w:tc>
          <w:tcPr>
            <w:tcW w:w="3969" w:type="dxa"/>
          </w:tcPr>
          <w:p w14:paraId="6E15645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vrlo dobar (4)</w:t>
            </w:r>
          </w:p>
        </w:tc>
      </w:tr>
      <w:tr w14:paraId="5D16A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071D6A6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91% - 100 %</w:t>
            </w:r>
          </w:p>
        </w:tc>
        <w:tc>
          <w:tcPr>
            <w:tcW w:w="3969" w:type="dxa"/>
          </w:tcPr>
          <w:p w14:paraId="0E869BE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odličan (5)</w:t>
            </w:r>
          </w:p>
        </w:tc>
      </w:tr>
    </w:tbl>
    <w:p w14:paraId="48100E66">
      <w:pPr>
        <w:rPr>
          <w:rFonts w:cstheme="minorHAnsi"/>
          <w:sz w:val="24"/>
          <w:szCs w:val="24"/>
        </w:rPr>
      </w:pPr>
    </w:p>
    <w:p w14:paraId="2B053EE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Objašnjenje za računanje bodova prema navedenoj postotnoj skali na primjeru pisane provjere koja ima 24 boda.</w:t>
      </w:r>
    </w:p>
    <w:p w14:paraId="034A7085">
      <w:pPr>
        <w:ind w:left="1416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ocjena nedovoljan – 0 – 11 bodova</w:t>
      </w:r>
    </w:p>
    <w:p w14:paraId="59CB60E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6985</wp:posOffset>
                </wp:positionV>
                <wp:extent cx="228600" cy="1089660"/>
                <wp:effectExtent l="0" t="0" r="19050" b="15240"/>
                <wp:wrapNone/>
                <wp:docPr id="2" name="Zaobljeni 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0896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Zaobljeni pravokutnik 2" o:spid="_x0000_s1026" o:spt="2" style="position:absolute;left:0pt;margin-left:18.55pt;margin-top:0.55pt;height:85.8pt;width:18pt;z-index:251659264;v-text-anchor:middle;mso-width-relative:page;mso-height-relative:page;" filled="f" stroked="t" coordsize="21600,21600" arcsize="0.166666666666667" o:gfxdata="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ees1Y0wAAAAcBAAAPAAAAAAAAAAEAIAAAACIAAABkcnMvZG93bnJldi54bWxQ&#10;SwECFAAUAAAACACHTuJAUkNQ224CAADfBAAADgAAAAAAAAABACAAAAAiAQAAZHJzL2Uyb0RvYy54&#10;bWxQSwUGAAAAAAYABgBZAQAAAgYAAAAA&#10;">
                <v:fill on="f" focussize="0,0"/>
                <v:stroke weight="1pt" color="#C00000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cstheme="minorHAnsi"/>
          <w:sz w:val="24"/>
          <w:szCs w:val="24"/>
        </w:rPr>
        <w:t>51 ∙ 24  : 100 = 12.2 - ocjena dovoljan – 12 - 14 bodova</w:t>
      </w:r>
    </w:p>
    <w:p w14:paraId="6A52504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64 ∙ 24  : 100 = 15.3 - ocjena dobar – 15 - 18 bodova</w:t>
      </w:r>
    </w:p>
    <w:p w14:paraId="72DF492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79 ∙ 24  : 100 = 18.9 - ocjena vrlo dobar – 19 - 21 boda</w:t>
      </w:r>
    </w:p>
    <w:p w14:paraId="7B072DD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91 ∙ 24  : 100 = 21.8 - ocjena odličan – 22 - 24 boda</w:t>
      </w:r>
    </w:p>
    <w:p w14:paraId="5D75AF7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654685</wp:posOffset>
                </wp:positionH>
                <wp:positionV relativeFrom="paragraph">
                  <wp:posOffset>77470</wp:posOffset>
                </wp:positionV>
                <wp:extent cx="1516380" cy="274320"/>
                <wp:effectExtent l="209550" t="171450" r="26670" b="11430"/>
                <wp:wrapNone/>
                <wp:docPr id="3" name="Oblačić s crtom 1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6380" cy="274320"/>
                        </a:xfrm>
                        <a:prstGeom prst="borderCallout1">
                          <a:avLst>
                            <a:gd name="adj1" fmla="val -3760"/>
                            <a:gd name="adj2" fmla="val 210"/>
                            <a:gd name="adj3" fmla="val -62022"/>
                            <a:gd name="adj4" fmla="val -12705"/>
                          </a:avLst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CA4A3B">
                            <w:pPr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broj bodova u provjeri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blačić s crtom 1 3" o:spid="_x0000_s1026" o:spt="47" type="#_x0000_t47" style="position:absolute;left:0pt;margin-left:51.55pt;margin-top:6.1pt;height:21.6pt;width:119.4pt;z-index:251660288;v-text-anchor:middle;mso-width-relative:page;mso-height-relative:page;" filled="f" stroked="t" coordsize="21600,21600" o:gfxdata="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jrWOl9oAAAAJAQAADwAAAAAAAAABACAAAAAiAAAA&#10;ZHJzL2Rvd25yZXYueG1sUEsBAhQAFAAAAAgAh07iQDDkRkuwAgAAhgUAAA4AAAAAAAAAAQAgAAAA&#10;KQEAAGRycy9lMm9Eb2MueG1sUEsFBgAAAAAGAAYAWQEAAEsGAAAAAA==&#10;" adj="-2744,-13397,45,-812">
                <v:fill on="f" focussize="0,0"/>
                <v:stroke weight="1pt" color="#C00000 [3204]" miterlimit="8" joinstyle="miter"/>
                <v:imagedata o:title=""/>
                <o:lock v:ext="edit" aspectratio="f"/>
                <v:textbox>
                  <w:txbxContent>
                    <w:p w14:paraId="24CA4A3B">
                      <w:pPr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broj bodova u provjeri</w:t>
                      </w:r>
                    </w:p>
                  </w:txbxContent>
                </v:textbox>
              </v:shape>
            </w:pict>
          </mc:Fallback>
        </mc:AlternateContent>
      </w:r>
    </w:p>
    <w:p w14:paraId="06D99B3D">
      <w:pPr>
        <w:rPr>
          <w:rFonts w:cstheme="minorHAnsi"/>
        </w:rPr>
      </w:pPr>
    </w:p>
    <w:p w14:paraId="65252450">
      <w:pPr>
        <w:pStyle w:val="14"/>
        <w:ind w:firstLine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Nakon cjelogodišnjeg praćenja zadatak učitelja je donijeti zaključnu ocjenu. Ona nije niti treba biti  aritmetička sredina pojedinačnih ocjena već se oblikuje temeljem svih prikupljenih informacija o ostvarivanju odgojno-obrazovnih ishoda. Kako se svi elementi vrednovanja po svim nastavnim predmetima isprepliću, tako su i jednako vrijedni pri donošenju zaključne ocjene. </w:t>
      </w:r>
    </w:p>
    <w:p w14:paraId="31A7CDCC">
      <w:pPr>
        <w:pStyle w:val="14"/>
        <w:ind w:firstLine="357"/>
        <w:jc w:val="both"/>
        <w:rPr>
          <w:rFonts w:asciiTheme="minorHAnsi" w:hAnsiTheme="minorHAnsi" w:cstheme="minorHAnsi"/>
        </w:rPr>
      </w:pPr>
    </w:p>
    <w:p w14:paraId="3D9BD3D4">
      <w:pPr>
        <w:pStyle w:val="14"/>
        <w:ind w:firstLine="357"/>
        <w:jc w:val="both"/>
        <w:rPr>
          <w:rFonts w:asciiTheme="minorHAnsi" w:hAnsiTheme="minorHAnsi" w:cstheme="minorHAnsi"/>
        </w:rPr>
      </w:pPr>
    </w:p>
    <w:p w14:paraId="469A5A55">
      <w:pPr>
        <w:jc w:val="center"/>
        <w:rPr>
          <w:rFonts w:cstheme="minorHAnsi"/>
          <w:b/>
          <w:sz w:val="40"/>
        </w:rPr>
      </w:pPr>
      <w:r>
        <w:rPr>
          <w:rFonts w:cstheme="minorHAnsi"/>
          <w:b/>
          <w:sz w:val="28"/>
        </w:rPr>
        <w:t>NASTAVNI PREDMET:  HRVATSKI JEZIK</w:t>
      </w:r>
    </w:p>
    <w:p w14:paraId="2A8853CF">
      <w:pPr>
        <w:pStyle w:val="14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b/>
          <w:i/>
          <w:sz w:val="28"/>
          <w:szCs w:val="28"/>
        </w:rPr>
        <w:t>Sastavnice vrednovanja u predmetu Hrvatski jezik su:</w:t>
      </w:r>
    </w:p>
    <w:p w14:paraId="4B03F960">
      <w:pPr>
        <w:pStyle w:val="14"/>
        <w:numPr>
          <w:ilvl w:val="0"/>
          <w:numId w:val="1"/>
        </w:numPr>
        <w:rPr>
          <w:rFonts w:asciiTheme="minorHAnsi" w:hAnsiTheme="minorHAnsi" w:cstheme="minorHAnsi"/>
          <w:i/>
          <w:szCs w:val="28"/>
        </w:rPr>
      </w:pPr>
      <w:r>
        <w:rPr>
          <w:rFonts w:asciiTheme="minorHAnsi" w:hAnsiTheme="minorHAnsi" w:cstheme="minorHAnsi"/>
          <w:i/>
          <w:szCs w:val="28"/>
        </w:rPr>
        <w:t>hrvatski jezik i komunikacija</w:t>
      </w:r>
    </w:p>
    <w:p w14:paraId="7282B528">
      <w:pPr>
        <w:pStyle w:val="14"/>
        <w:numPr>
          <w:ilvl w:val="0"/>
          <w:numId w:val="1"/>
        </w:numPr>
        <w:rPr>
          <w:rFonts w:asciiTheme="minorHAnsi" w:hAnsiTheme="minorHAnsi" w:cstheme="minorHAnsi"/>
          <w:i/>
          <w:szCs w:val="28"/>
        </w:rPr>
      </w:pPr>
      <w:r>
        <w:rPr>
          <w:rFonts w:asciiTheme="minorHAnsi" w:hAnsiTheme="minorHAnsi" w:cstheme="minorHAnsi"/>
          <w:i/>
          <w:szCs w:val="28"/>
        </w:rPr>
        <w:t>književnost i stvaralaštvo</w:t>
      </w:r>
    </w:p>
    <w:p w14:paraId="1B6CC535">
      <w:pPr>
        <w:pStyle w:val="14"/>
        <w:numPr>
          <w:ilvl w:val="0"/>
          <w:numId w:val="1"/>
        </w:numPr>
        <w:rPr>
          <w:rFonts w:asciiTheme="minorHAnsi" w:hAnsiTheme="minorHAnsi" w:cstheme="minorHAnsi"/>
          <w:i/>
          <w:szCs w:val="28"/>
        </w:rPr>
      </w:pPr>
      <w:r>
        <w:rPr>
          <w:rFonts w:asciiTheme="minorHAnsi" w:hAnsiTheme="minorHAnsi" w:cstheme="minorHAnsi"/>
          <w:i/>
          <w:szCs w:val="28"/>
        </w:rPr>
        <w:t>kultura i mediji.</w:t>
      </w:r>
    </w:p>
    <w:p w14:paraId="36D63787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>Sadržaj vrednovanja u nastavnom predmetu su:</w:t>
      </w:r>
    </w:p>
    <w:p w14:paraId="531D15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razgovor, pitanja i odgovori (usmeni odgovori) </w:t>
      </w:r>
      <w:r>
        <w:rPr>
          <w:rFonts w:eastAsia="Times New Roman" w:cstheme="minorHAnsi"/>
          <w:i/>
          <w:color w:val="232323"/>
          <w:sz w:val="24"/>
          <w:szCs w:val="28"/>
          <w:lang w:eastAsia="hr-HR"/>
        </w:rPr>
        <w:t> </w:t>
      </w:r>
    </w:p>
    <w:p w14:paraId="1DCEB9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zadataka pisane provjere znanja </w:t>
      </w:r>
    </w:p>
    <w:p w14:paraId="1E9EE5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problemskih zadataka </w:t>
      </w:r>
    </w:p>
    <w:p w14:paraId="50C89A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tumačenje grafičkih organizatora znanja i/ili tablično/grafički prikazanih rezultata znanstvenih istraživanja </w:t>
      </w:r>
    </w:p>
    <w:p w14:paraId="3AD14C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izvedba pokusa ili istraživanja prema pisanom protokolu </w:t>
      </w:r>
    </w:p>
    <w:p w14:paraId="0A7F3B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obrazloženje izvedenog pokusa ili istraživanja </w:t>
      </w:r>
    </w:p>
    <w:p w14:paraId="4E0F80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izvješća o provedenom istraživanju prema unaprijed utvrđenim kriterijima </w:t>
      </w:r>
    </w:p>
    <w:p w14:paraId="43D0E2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konceptualnih i/ili umnih mapa, križaljki, pitalica, rebusa, kvizova, stripova, infografika prema unaprijed utvrđenim kriterijima </w:t>
      </w:r>
    </w:p>
    <w:p w14:paraId="3F81C4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pisanje sastavka na određenu temu prema unaprijed zadanim smjernicama i utvrđenim kriterijima </w:t>
      </w:r>
    </w:p>
    <w:p w14:paraId="70582D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plakata, prezentacija, seminara prema unaprijed utvrđenim kriterijima. </w:t>
      </w:r>
    </w:p>
    <w:p w14:paraId="01DD67FF">
      <w:pPr>
        <w:pStyle w:val="17"/>
        <w:textAlignment w:val="baseline"/>
        <w:rPr>
          <w:b/>
          <w:i/>
          <w:sz w:val="32"/>
        </w:rPr>
      </w:pPr>
      <w:r>
        <w:rPr>
          <w:rStyle w:val="18"/>
          <w:rFonts w:ascii="Calibri" w:hAnsi="Calibri" w:cs="Calibri"/>
          <w:b/>
          <w:i/>
          <w:sz w:val="28"/>
          <w:szCs w:val="22"/>
        </w:rPr>
        <w:t>Oblici  vrednovanja naučenog su: </w:t>
      </w:r>
      <w:r>
        <w:rPr>
          <w:rStyle w:val="19"/>
          <w:rFonts w:ascii="Calibri" w:hAnsi="Calibri" w:cs="Calibri"/>
          <w:b/>
          <w:i/>
          <w:sz w:val="28"/>
          <w:szCs w:val="22"/>
        </w:rPr>
        <w:t> </w:t>
      </w:r>
    </w:p>
    <w:p w14:paraId="25EB57D0">
      <w:pPr>
        <w:pStyle w:val="17"/>
        <w:numPr>
          <w:ilvl w:val="0"/>
          <w:numId w:val="3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>
        <w:rPr>
          <w:rStyle w:val="18"/>
          <w:rFonts w:ascii="Calibri" w:hAnsi="Calibri" w:cs="Calibri"/>
          <w:i/>
          <w:szCs w:val="22"/>
        </w:rPr>
        <w:t>usmene provjere, pisane provjere zadatcima zatvorenoga i /ili otvorenog tipa; </w:t>
      </w:r>
      <w:r>
        <w:rPr>
          <w:rStyle w:val="19"/>
          <w:rFonts w:ascii="Calibri" w:hAnsi="Calibri" w:cs="Calibri"/>
          <w:i/>
          <w:szCs w:val="22"/>
        </w:rPr>
        <w:t> </w:t>
      </w:r>
    </w:p>
    <w:p w14:paraId="5094868E">
      <w:pPr>
        <w:pStyle w:val="17"/>
        <w:numPr>
          <w:ilvl w:val="0"/>
          <w:numId w:val="3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>
        <w:rPr>
          <w:rStyle w:val="18"/>
          <w:rFonts w:ascii="Calibri" w:hAnsi="Calibri" w:cs="Calibri"/>
          <w:i/>
          <w:szCs w:val="22"/>
        </w:rPr>
        <w:t>predstavljanja ili izvedbe: govorni i razgovorni oblici, </w:t>
      </w:r>
      <w:r>
        <w:rPr>
          <w:rStyle w:val="19"/>
          <w:rFonts w:ascii="Calibri" w:hAnsi="Calibri" w:cs="Calibri"/>
          <w:i/>
          <w:szCs w:val="22"/>
        </w:rPr>
        <w:t> </w:t>
      </w:r>
    </w:p>
    <w:p w14:paraId="6CFAC4B5">
      <w:pPr>
        <w:pStyle w:val="17"/>
        <w:numPr>
          <w:ilvl w:val="0"/>
          <w:numId w:val="3"/>
        </w:numPr>
        <w:ind w:left="0" w:firstLine="284"/>
        <w:textAlignment w:val="baseline"/>
        <w:rPr>
          <w:rStyle w:val="19"/>
          <w:rFonts w:ascii="Calibri" w:hAnsi="Calibri" w:cs="Calibri"/>
          <w:i/>
          <w:szCs w:val="22"/>
        </w:rPr>
      </w:pPr>
      <w:r>
        <w:rPr>
          <w:rStyle w:val="18"/>
          <w:rFonts w:ascii="Calibri" w:hAnsi="Calibri" w:cs="Calibri"/>
          <w:i/>
          <w:szCs w:val="22"/>
        </w:rPr>
        <w:t>praktični radovi, projekti; učeničke mape i sl. </w:t>
      </w:r>
      <w:r>
        <w:rPr>
          <w:rStyle w:val="19"/>
          <w:rFonts w:ascii="Calibri" w:hAnsi="Calibri" w:cs="Calibri"/>
          <w:i/>
          <w:szCs w:val="22"/>
        </w:rPr>
        <w:t> </w:t>
      </w:r>
    </w:p>
    <w:p w14:paraId="6B594CC3">
      <w:pPr>
        <w:pStyle w:val="17"/>
        <w:textAlignment w:val="baseline"/>
        <w:rPr>
          <w:rStyle w:val="19"/>
          <w:rFonts w:asciiTheme="minorHAnsi" w:hAnsiTheme="minorHAnsi" w:cstheme="minorHAnsi"/>
          <w:b/>
        </w:rPr>
      </w:pPr>
    </w:p>
    <w:p w14:paraId="5BE2BC2A">
      <w:pPr>
        <w:pStyle w:val="17"/>
        <w:textAlignment w:val="baseline"/>
        <w:rPr>
          <w:rStyle w:val="19"/>
          <w:rFonts w:asciiTheme="minorHAnsi" w:hAnsiTheme="minorHAnsi" w:cstheme="minorHAnsi"/>
          <w:b/>
          <w:sz w:val="28"/>
        </w:rPr>
      </w:pPr>
      <w:r>
        <w:rPr>
          <w:rStyle w:val="19"/>
          <w:rFonts w:asciiTheme="minorHAnsi" w:hAnsiTheme="minorHAnsi" w:cstheme="minorHAnsi"/>
          <w:b/>
          <w:sz w:val="28"/>
        </w:rPr>
        <w:t>Tekst u kurzivu je u cijelosti preuzet iz Kurikuluma za Hrvatski jezik.</w:t>
      </w:r>
    </w:p>
    <w:p w14:paraId="245983AE">
      <w:pPr>
        <w:pStyle w:val="17"/>
        <w:textAlignment w:val="baseline"/>
        <w:rPr>
          <w:rStyle w:val="19"/>
        </w:rPr>
      </w:pPr>
    </w:p>
    <w:p w14:paraId="191D7DAF">
      <w:pPr>
        <w:pStyle w:val="17"/>
        <w:textAlignment w:val="baseline"/>
        <w:rPr>
          <w:rStyle w:val="19"/>
        </w:rPr>
      </w:pPr>
    </w:p>
    <w:p w14:paraId="1B6B6364">
      <w:pPr>
        <w:pStyle w:val="17"/>
        <w:textAlignment w:val="baseline"/>
        <w:rPr>
          <w:rStyle w:val="19"/>
        </w:rPr>
      </w:pPr>
    </w:p>
    <w:tbl>
      <w:tblPr>
        <w:tblStyle w:val="13"/>
        <w:tblW w:w="15877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0"/>
        <w:gridCol w:w="2708"/>
        <w:gridCol w:w="283"/>
        <w:gridCol w:w="2268"/>
        <w:gridCol w:w="142"/>
        <w:gridCol w:w="709"/>
        <w:gridCol w:w="283"/>
        <w:gridCol w:w="1418"/>
        <w:gridCol w:w="2551"/>
        <w:gridCol w:w="2835"/>
      </w:tblGrid>
      <w:tr w14:paraId="0E46D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</w:tcPr>
          <w:p w14:paraId="3D4B569F">
            <w:pPr>
              <w:spacing w:after="0" w:line="240" w:lineRule="auto"/>
              <w:jc w:val="center"/>
              <w:rPr>
                <w:rFonts w:cstheme="minorHAnsi"/>
                <w:sz w:val="28"/>
              </w:rPr>
            </w:pPr>
            <w:r>
              <w:rPr>
                <w:rFonts w:cstheme="minorHAnsi"/>
                <w:color w:val="C00000"/>
                <w:sz w:val="28"/>
              </w:rPr>
              <w:t xml:space="preserve">SASTAVNICA/ELEMENT VREDNOVANJA: </w:t>
            </w:r>
            <w:r>
              <w:rPr>
                <w:rFonts w:cstheme="minorHAnsi"/>
                <w:b/>
                <w:color w:val="C00000"/>
                <w:sz w:val="28"/>
              </w:rPr>
              <w:t>HRVATSKI JEZIK I KOMUNIKACIJA</w:t>
            </w:r>
          </w:p>
        </w:tc>
      </w:tr>
      <w:tr w14:paraId="374F2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right w:val="single" w:color="auto" w:sz="4" w:space="0"/>
            </w:tcBorders>
            <w:shd w:val="clear" w:color="auto" w:fill="DEEAF6" w:themeFill="accent1" w:themeFillTint="33"/>
          </w:tcPr>
          <w:p w14:paraId="4E8AA0FF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A.3.1. Učenik razgovara i govori tekstove jednostavne strukture.</w:t>
            </w:r>
          </w:p>
        </w:tc>
      </w:tr>
      <w:tr w14:paraId="25F3B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nil"/>
              <w:bottom w:val="single" w:color="auto" w:sz="6" w:space="0"/>
              <w:right w:val="double" w:color="auto" w:sz="12" w:space="0"/>
            </w:tcBorders>
            <w:shd w:val="clear" w:color="auto" w:fill="DEEAF6" w:themeFill="accent1" w:themeFillTint="33"/>
          </w:tcPr>
          <w:p w14:paraId="72D8977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color="auto" w:sz="12" w:space="0"/>
              <w:left w:val="doub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7A36AA08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1E25E8F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2F6759DF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2AEF897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42788E3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22099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1172F07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svakodnevne komunikacijske situacije. </w:t>
            </w:r>
          </w:p>
          <w:p w14:paraId="017F61D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EDA3F51">
            <w:pPr>
              <w:spacing w:after="0" w:line="240" w:lineRule="auto"/>
              <w:ind w:left="37"/>
              <w:jc w:val="center"/>
              <w:rPr>
                <w:rFonts w:cstheme="minorHAnsi"/>
                <w:b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65BBCCB5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svakodnevne komunikacijske situacije“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0A92FA1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Cs/>
                <w:sz w:val="24"/>
                <w:szCs w:val="24"/>
              </w:rPr>
              <w:t>Uz stalno navođenje i upute razlikuje samo osnovne svakodnevne komunikacijske situacije.</w:t>
            </w:r>
          </w:p>
        </w:tc>
        <w:tc>
          <w:tcPr>
            <w:tcW w:w="2552" w:type="dxa"/>
            <w:gridSpan w:val="4"/>
          </w:tcPr>
          <w:p w14:paraId="25951CFD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Cs/>
                <w:sz w:val="24"/>
                <w:szCs w:val="24"/>
              </w:rPr>
              <w:t>Razlikuje samo poznate komunikacijske situacije, ne osjeća se slobodno u nepoznatim situacijama te u takvima traži pomoć.</w:t>
            </w:r>
          </w:p>
        </w:tc>
        <w:tc>
          <w:tcPr>
            <w:tcW w:w="2551" w:type="dxa"/>
          </w:tcPr>
          <w:p w14:paraId="6485E628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Cs/>
                <w:sz w:val="24"/>
                <w:szCs w:val="24"/>
              </w:rPr>
              <w:t>Uz manje i kraće upute razlikuje svakodnevne komunikacijske situacije.</w:t>
            </w:r>
          </w:p>
        </w:tc>
        <w:tc>
          <w:tcPr>
            <w:tcW w:w="2835" w:type="dxa"/>
          </w:tcPr>
          <w:p w14:paraId="7FDB7AF9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Cs/>
                <w:sz w:val="24"/>
                <w:szCs w:val="24"/>
              </w:rPr>
              <w:t>Samostalno i samouvjereno razlikuje svakodnevne situacije te svoj nastup prilagođava određenoj situaciji.</w:t>
            </w:r>
          </w:p>
        </w:tc>
      </w:tr>
      <w:tr w14:paraId="344CE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6530D078">
            <w:pPr>
              <w:spacing w:after="0" w:line="240" w:lineRule="auto"/>
              <w:ind w:left="37"/>
              <w:rPr>
                <w:rFonts w:cstheme="minorHAnsi"/>
                <w:b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Govori kraći tekst prema jednostavnoj strukturi: uvod, središnji dio, završetak.</w:t>
            </w: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1CBA7B17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govori kraći tekst prema jednostavnoj strukturi: uvod, središnji dio, završetak“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3910DF9F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Cs/>
                <w:sz w:val="24"/>
                <w:szCs w:val="24"/>
              </w:rPr>
              <w:t>Prema predlošku te uz pomoć, pitanja i podstrek sasvim djelomično prepričava/govori kraći poznati i nekoliko puta uvježbani tekst prema pojednostavljenoj strukturu, služeći se jednostavnim rečenicama.</w:t>
            </w:r>
          </w:p>
        </w:tc>
        <w:tc>
          <w:tcPr>
            <w:tcW w:w="2552" w:type="dxa"/>
            <w:gridSpan w:val="4"/>
          </w:tcPr>
          <w:p w14:paraId="575FAE6D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Cs/>
                <w:sz w:val="24"/>
                <w:szCs w:val="24"/>
              </w:rPr>
              <w:t>Djelomično govori kraći tekst prema jednostavnoj strukturi: uvod, središnji dio, završetak, s tim da ga je potrebno navoditi i poticat. Teže shvaća strukturu.</w:t>
            </w:r>
          </w:p>
        </w:tc>
        <w:tc>
          <w:tcPr>
            <w:tcW w:w="2551" w:type="dxa"/>
          </w:tcPr>
          <w:p w14:paraId="0CB3795F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Cs/>
                <w:sz w:val="24"/>
                <w:szCs w:val="24"/>
              </w:rPr>
              <w:t>Većinom uspješno i uz kratka navođenja govori kraći tekst prema jednostavnoj strukturi: uvod, središnji dio, završetak.</w:t>
            </w:r>
          </w:p>
        </w:tc>
        <w:tc>
          <w:tcPr>
            <w:tcW w:w="2835" w:type="dxa"/>
          </w:tcPr>
          <w:p w14:paraId="5C43E8F5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Cs/>
                <w:sz w:val="24"/>
                <w:szCs w:val="24"/>
              </w:rPr>
              <w:t>Uspješno i bez pomoći govori kraći tekst prema jednostavnoj strukturi: uvod, središnji dio, završetak.</w:t>
            </w:r>
          </w:p>
        </w:tc>
      </w:tr>
      <w:tr w14:paraId="766A5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05890CBA">
            <w:pPr>
              <w:spacing w:after="0" w:line="240" w:lineRule="auto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Pripovijeda događaje nižući ih kronološki.</w:t>
            </w: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75B9F749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događaje nižući ih kronološki“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A50A2CD">
            <w:pPr>
              <w:spacing w:after="0" w:line="240" w:lineRule="auto"/>
              <w:rPr>
                <w:rFonts w:cstheme="minorHAnsi"/>
                <w:b/>
                <w:color w:val="00B050"/>
              </w:rPr>
            </w:pPr>
            <w:r>
              <w:rPr>
                <w:rFonts w:cstheme="minorHAnsi"/>
                <w:sz w:val="24"/>
                <w:szCs w:val="24"/>
              </w:rPr>
              <w:t>Djelomično pripovijeda događaje nepreciznim i nepotpunim kronološkim slijedom uz stalno navođenje.</w:t>
            </w:r>
          </w:p>
        </w:tc>
        <w:tc>
          <w:tcPr>
            <w:tcW w:w="2552" w:type="dxa"/>
            <w:gridSpan w:val="4"/>
          </w:tcPr>
          <w:p w14:paraId="02829946">
            <w:pPr>
              <w:spacing w:after="0" w:line="240" w:lineRule="auto"/>
              <w:rPr>
                <w:rFonts w:cstheme="minorHAnsi"/>
                <w:b/>
                <w:color w:val="00B050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navođenje i povremeni poticaj pripovijeda događaje kronološkim slijedom, ali sam teško uočava kronološki slijed.</w:t>
            </w:r>
          </w:p>
        </w:tc>
        <w:tc>
          <w:tcPr>
            <w:tcW w:w="2551" w:type="dxa"/>
          </w:tcPr>
          <w:p w14:paraId="673EBD36">
            <w:pPr>
              <w:spacing w:after="0" w:line="240" w:lineRule="auto"/>
              <w:rPr>
                <w:rFonts w:cstheme="minorHAnsi"/>
                <w:b/>
                <w:color w:val="00B050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Pripovijeda događaje kronološki ih nižući te slijedeći smisao cjeline uz manje ispravke.</w:t>
            </w:r>
          </w:p>
        </w:tc>
        <w:tc>
          <w:tcPr>
            <w:tcW w:w="2835" w:type="dxa"/>
          </w:tcPr>
          <w:p w14:paraId="6CEDB5F4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Razvrstava događaje kronološki te ih samostalno reda pravilnim redoslijedom u jasnu i logičku cjelinu.</w:t>
            </w:r>
          </w:p>
        </w:tc>
      </w:tr>
      <w:tr w14:paraId="1435A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681A79E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novim riječima u skladu s komunikacijskom situacijom i temom.</w:t>
            </w:r>
          </w:p>
          <w:p w14:paraId="5AC39ECF">
            <w:pPr>
              <w:spacing w:after="0" w:line="240" w:lineRule="auto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1DB049C3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služi se novim riječima u skladu s komunikacijskom situacijom i temom“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5AF3749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Slabo se služi  novim riječima u skladu s komunikacijskom situacijom i temom, djelomično upotrijebi neke nove riječi u skladu s temom ukoliko ima predložak. Rijetko bogati rječnik u govoru.</w:t>
            </w:r>
          </w:p>
          <w:p w14:paraId="0F0A7A2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48CBAD2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samo nekim novim riječima, već uvježbanim i naučenim, to jest višestruko ponavljanim,  u skladu s temom.</w:t>
            </w:r>
          </w:p>
          <w:p w14:paraId="1FFD32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8BD85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Čineći manje, nezamjetne pogreške, služi se novim riječima u skladu s komunikacijskom situacijom i temom.</w:t>
            </w:r>
          </w:p>
          <w:p w14:paraId="4F9421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00D8B21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Lako i sigurno se služi novim riječima u skladu s komunikacijskom situacijom i temom.</w:t>
            </w:r>
          </w:p>
        </w:tc>
      </w:tr>
      <w:tr w14:paraId="25ADD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6A6F2FF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govornim situacijama samostalno prilagođava ton, intonaciju i stil.</w:t>
            </w:r>
          </w:p>
          <w:p w14:paraId="468F86E2">
            <w:pPr>
              <w:pStyle w:val="11"/>
              <w:spacing w:after="0" w:line="240" w:lineRule="auto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416D3AA9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govornim situacijama samostalno prilagođava ton, intonaciju i stil“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39CB575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Ponavljajući za modelom djelomično prilagođava u govornim situacijama o ton, intonaciju i stil.</w:t>
            </w:r>
          </w:p>
          <w:p w14:paraId="16704D6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6D55FA0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ali ne primjenjuje uvijek niti prilagođava samostalno ton, stil i intonaciju. Tek uz navođenje relativno uspješno prilagodi stil, ton i intonaciju.</w:t>
            </w:r>
          </w:p>
        </w:tc>
        <w:tc>
          <w:tcPr>
            <w:tcW w:w="2551" w:type="dxa"/>
          </w:tcPr>
          <w:p w14:paraId="1665AC5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samostalno prilagođava ton, intonaciju i stil u govornim situacijama.</w:t>
            </w:r>
          </w:p>
        </w:tc>
        <w:tc>
          <w:tcPr>
            <w:tcW w:w="2835" w:type="dxa"/>
          </w:tcPr>
          <w:p w14:paraId="55908E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samostalnom govornom nastupu, kao i govornim situacijama, razlikuje i primjenjuje stil, intonaciju i ton (upitne, usklične, izjavne rečenice, upravni govor u tekstu, stil u priči ili pjesmi lako prepoznaje, jednako u govoru i književnim tekstovima). </w:t>
            </w:r>
          </w:p>
        </w:tc>
      </w:tr>
      <w:tr w14:paraId="1489E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188AC8A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izgovara ogledne i česte riječi koje su dio aktivnoga rječnika u kojima su glasovi č, ć, dž, đ, ije/je/e/i.</w:t>
            </w:r>
          </w:p>
          <w:p w14:paraId="1F4072B5">
            <w:pPr>
              <w:spacing w:after="0" w:line="240" w:lineRule="auto"/>
              <w:ind w:left="3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067D3A89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točno izgovara ogledne i česte riječi koje su dio aktivnoga rječnika u kojima su glasovi č, ć, dž, đ, ije/je/e/i</w:t>
            </w:r>
          </w:p>
          <w:p w14:paraId="0D3B56C4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387C4B2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Teže razlikuje glasove č/ć/dž/đ/ije/je i u oglednim i čestim riječima zbog nedovoljnog bogaćenja rječnika. Isključivo uz nekoliko ponavljanja za modelom uspješno reproducira poznate i česte riječi.</w:t>
            </w:r>
          </w:p>
        </w:tc>
        <w:tc>
          <w:tcPr>
            <w:tcW w:w="2552" w:type="dxa"/>
            <w:gridSpan w:val="4"/>
          </w:tcPr>
          <w:p w14:paraId="135B3E7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Ponavljajući za modelom uspješno izgovara ogledne i česte riječi koje su dio aktivnoga rječnika u kojima su glasovi č, ć, dž, đ, ije/je/e/i.</w:t>
            </w:r>
          </w:p>
        </w:tc>
        <w:tc>
          <w:tcPr>
            <w:tcW w:w="2551" w:type="dxa"/>
          </w:tcPr>
          <w:p w14:paraId="2E77BF9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Izgovara ogledne i česte riječi koje su dio aktivnoga rječnika u kojima su glasovi č, ć, dž, đ, ije/je/e/i ponekad griješeći u nekim izgovorima.</w:t>
            </w:r>
          </w:p>
        </w:tc>
        <w:tc>
          <w:tcPr>
            <w:tcW w:w="2835" w:type="dxa"/>
          </w:tcPr>
          <w:p w14:paraId="42FD8F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Točno, pravilno i razgovijetno izgovara ogledne i česte riječi koje su dio aktivnoga rječnika u kojima su glasovi č, ć, dž, đ, ije/je/e/i, ali i nove riječi s kojima se prvi put susreće.</w:t>
            </w:r>
          </w:p>
        </w:tc>
      </w:tr>
      <w:tr w14:paraId="33548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0" w:type="dxa"/>
            <w:gridSpan w:val="6"/>
            <w:tcBorders>
              <w:bottom w:val="single" w:color="auto" w:sz="4" w:space="0"/>
              <w:right w:val="double" w:color="auto" w:sz="12" w:space="0"/>
            </w:tcBorders>
          </w:tcPr>
          <w:p w14:paraId="0A671704">
            <w:pPr>
              <w:pStyle w:val="11"/>
              <w:spacing w:after="0" w:line="240" w:lineRule="auto"/>
              <w:ind w:left="37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Pažljivo i uljudno sluša sugovornika ne prekidajući ga u govorenju.</w:t>
            </w:r>
          </w:p>
        </w:tc>
        <w:tc>
          <w:tcPr>
            <w:tcW w:w="7087" w:type="dxa"/>
            <w:gridSpan w:val="4"/>
            <w:tcBorders>
              <w:left w:val="double" w:color="auto" w:sz="12" w:space="0"/>
              <w:bottom w:val="single" w:color="auto" w:sz="4" w:space="0"/>
            </w:tcBorders>
          </w:tcPr>
          <w:p w14:paraId="2FEABDCF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532CE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top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4C82DB8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A.3.2. Učenik sluša tekst i prepričava sadržaj poslušanoga teksta.</w:t>
            </w:r>
          </w:p>
        </w:tc>
      </w:tr>
      <w:tr w14:paraId="2670B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4" w:space="0"/>
              <w:bottom w:val="single" w:color="auto" w:sz="6" w:space="0"/>
              <w:right w:val="double" w:color="auto" w:sz="12" w:space="0"/>
            </w:tcBorders>
            <w:shd w:val="clear" w:color="auto" w:fill="DEEAF6" w:themeFill="accent1" w:themeFillTint="33"/>
          </w:tcPr>
          <w:p w14:paraId="7D96082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color="auto" w:sz="4" w:space="0"/>
              <w:left w:val="doub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7FC40646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bottom w:val="single" w:color="auto" w:sz="6" w:space="0"/>
            </w:tcBorders>
            <w:shd w:val="clear" w:color="auto" w:fill="FFFFFF" w:themeFill="background1"/>
          </w:tcPr>
          <w:p w14:paraId="1E31B586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  <w:bottom w:val="single" w:color="auto" w:sz="6" w:space="0"/>
            </w:tcBorders>
            <w:shd w:val="clear" w:color="auto" w:fill="FFFFFF" w:themeFill="background1"/>
          </w:tcPr>
          <w:p w14:paraId="740DA686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color="auto" w:sz="4" w:space="0"/>
              <w:bottom w:val="single" w:color="auto" w:sz="6" w:space="0"/>
            </w:tcBorders>
            <w:shd w:val="clear" w:color="auto" w:fill="FFFFFF" w:themeFill="background1"/>
          </w:tcPr>
          <w:p w14:paraId="4ABA628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6" w:space="0"/>
            </w:tcBorders>
            <w:shd w:val="clear" w:color="auto" w:fill="FFFFFF" w:themeFill="background1"/>
          </w:tcPr>
          <w:p w14:paraId="6B61EA9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59FC2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bottom w:val="nil"/>
              <w:right w:val="double" w:color="auto" w:sz="12" w:space="0"/>
            </w:tcBorders>
          </w:tcPr>
          <w:p w14:paraId="4D66FCE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Sluša tekst prema zadanim smjernicama: unaprijed zadana pitanja i upute.</w:t>
            </w:r>
          </w:p>
          <w:p w14:paraId="0302228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  <w:bottom w:val="nil"/>
            </w:tcBorders>
          </w:tcPr>
          <w:p w14:paraId="03F2AC39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tekst prema zadanim smjernicama: unaprijed zadana pitanja i upute</w:t>
            </w:r>
          </w:p>
          <w:p w14:paraId="0FC5B5C5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2EDAED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Izrazito nestalne pažnje pri slušanju te je potrebno ponavljati zadana pitanja nakon slušanja, ili više puta ponoviti smjernice i tražiti od učenika da ih sam ponovi.</w:t>
            </w:r>
          </w:p>
        </w:tc>
        <w:tc>
          <w:tcPr>
            <w:tcW w:w="2552" w:type="dxa"/>
            <w:gridSpan w:val="4"/>
            <w:tcBorders>
              <w:bottom w:val="nil"/>
            </w:tcBorders>
          </w:tcPr>
          <w:p w14:paraId="1FD123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povremeno nestalnu pažnju sluša tekst prema zadanim smjernicama, ali je pitanja potrebno ponoviti.</w:t>
            </w:r>
          </w:p>
        </w:tc>
        <w:tc>
          <w:tcPr>
            <w:tcW w:w="2551" w:type="dxa"/>
            <w:tcBorders>
              <w:bottom w:val="nil"/>
            </w:tcBorders>
          </w:tcPr>
          <w:p w14:paraId="354DA5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sluša tekst prema zadanim smjernicama, ponekad je pažnja pomalo nestalna, ali pamti upute i pitanja pri slušanju.</w:t>
            </w:r>
          </w:p>
        </w:tc>
        <w:tc>
          <w:tcPr>
            <w:tcW w:w="2835" w:type="dxa"/>
            <w:tcBorders>
              <w:bottom w:val="nil"/>
            </w:tcBorders>
          </w:tcPr>
          <w:p w14:paraId="7EDC06C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aktivnom pažnjom sluša tekst, pamti pitanja i upute te na njih točno i s lakoćom odgovara, što ukazuje na aktivno slušanje i pretvorbu slušanog u razumijevanje i povratne informacije.</w:t>
            </w:r>
          </w:p>
        </w:tc>
      </w:tr>
      <w:tr w14:paraId="53DE3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bottom w:val="nil"/>
              <w:right w:val="double" w:color="auto" w:sz="12" w:space="0"/>
            </w:tcBorders>
          </w:tcPr>
          <w:p w14:paraId="3874AC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poslušanome tekstu.</w:t>
            </w:r>
          </w:p>
          <w:p w14:paraId="6F11095D">
            <w:pPr>
              <w:spacing w:after="0" w:line="240" w:lineRule="auto"/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  <w:bottom w:val="nil"/>
            </w:tcBorders>
          </w:tcPr>
          <w:p w14:paraId="7BA12E8A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o poslušanome tekstu“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71836AC7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Kratko i nepotpuno potpuno odgovara na pitanja o slušanome tekstu.</w:t>
            </w:r>
          </w:p>
        </w:tc>
        <w:tc>
          <w:tcPr>
            <w:tcW w:w="2552" w:type="dxa"/>
            <w:gridSpan w:val="4"/>
            <w:tcBorders>
              <w:bottom w:val="nil"/>
            </w:tcBorders>
          </w:tcPr>
          <w:p w14:paraId="0CE644F1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slušanome tekstu uz stalno navođenje kratkim rečenicama.</w:t>
            </w:r>
          </w:p>
        </w:tc>
        <w:tc>
          <w:tcPr>
            <w:tcW w:w="2551" w:type="dxa"/>
            <w:tcBorders>
              <w:bottom w:val="nil"/>
            </w:tcBorders>
          </w:tcPr>
          <w:p w14:paraId="296BED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odgovara na pitanja o slušanome tekstu.</w:t>
            </w:r>
          </w:p>
          <w:p w14:paraId="1B52E6BD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566AA239">
            <w:pPr>
              <w:spacing w:after="0" w:line="240" w:lineRule="auto"/>
              <w:ind w:left="35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potpuno odgovara na pitanja o slušanome tekstu.</w:t>
            </w:r>
          </w:p>
        </w:tc>
      </w:tr>
      <w:tr w14:paraId="200F1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bottom w:val="nil"/>
              <w:right w:val="double" w:color="auto" w:sz="12" w:space="0"/>
            </w:tcBorders>
          </w:tcPr>
          <w:p w14:paraId="0FB376C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poslušanome tekstu.</w:t>
            </w:r>
          </w:p>
          <w:p w14:paraId="72E15E67">
            <w:pPr>
              <w:spacing w:after="0" w:line="240" w:lineRule="auto"/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  <w:bottom w:val="nil"/>
            </w:tcBorders>
          </w:tcPr>
          <w:p w14:paraId="60B3EFE4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o poslušanome tekstu“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7206EC92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slušanome tekstu prema predlošku, a ne samostalno; sluša i razumije jasnu i kratku uputu i postupa prema uputi uz navođenje i korak po korak.</w:t>
            </w:r>
          </w:p>
        </w:tc>
        <w:tc>
          <w:tcPr>
            <w:tcW w:w="2552" w:type="dxa"/>
            <w:gridSpan w:val="4"/>
            <w:tcBorders>
              <w:bottom w:val="nil"/>
            </w:tcBorders>
          </w:tcPr>
          <w:p w14:paraId="60913B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o slušanom tekstu; sluša i razumije jednostavniju uputu i postupa prema njoj.</w:t>
            </w:r>
          </w:p>
          <w:p w14:paraId="58BF88B4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3E985CD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slušanome tekstu; sluša i razumije uputu i postupa prema uputi.</w:t>
            </w:r>
          </w:p>
          <w:p w14:paraId="73215024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762E1A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Inicira postavljanje pitanja o slušanome tekstu te ih produbljuje; sluša i razumije uputu i postupa prema uputi brzo i točno.</w:t>
            </w:r>
          </w:p>
          <w:p w14:paraId="57CE4A8E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</w:p>
        </w:tc>
      </w:tr>
      <w:tr w14:paraId="3B9BA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bottom w:val="single" w:color="auto" w:sz="4" w:space="0"/>
              <w:right w:val="double" w:color="auto" w:sz="12" w:space="0"/>
            </w:tcBorders>
          </w:tcPr>
          <w:p w14:paraId="7EA3B47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Prepričava poslušani tekst.</w:t>
            </w:r>
          </w:p>
          <w:p w14:paraId="69505123">
            <w:pPr>
              <w:spacing w:after="0" w:line="240" w:lineRule="auto"/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  <w:bottom w:val="single" w:color="auto" w:sz="4" w:space="0"/>
            </w:tcBorders>
          </w:tcPr>
          <w:p w14:paraId="1006B1E0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prepričava poslušani tekst“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single" w:color="auto" w:sz="4" w:space="0"/>
            </w:tcBorders>
          </w:tcPr>
          <w:p w14:paraId="6BE297B1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ne prepričava slušani tekst, tek nakon nekoliko primjera suučenika, uz navođenje, djelomično prepričava poslušani tekst.</w:t>
            </w:r>
          </w:p>
        </w:tc>
        <w:tc>
          <w:tcPr>
            <w:tcW w:w="2552" w:type="dxa"/>
            <w:gridSpan w:val="4"/>
            <w:tcBorders>
              <w:bottom w:val="single" w:color="auto" w:sz="4" w:space="0"/>
            </w:tcBorders>
          </w:tcPr>
          <w:p w14:paraId="7D814682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stalnu pomoć prepričava poslušani tekst.</w:t>
            </w:r>
          </w:p>
        </w:tc>
        <w:tc>
          <w:tcPr>
            <w:tcW w:w="2551" w:type="dxa"/>
            <w:tcBorders>
              <w:bottom w:val="single" w:color="auto" w:sz="4" w:space="0"/>
            </w:tcBorders>
          </w:tcPr>
          <w:p w14:paraId="7A409666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Prepričava poslušani tekst uz poneka navođenja.</w:t>
            </w:r>
          </w:p>
        </w:tc>
        <w:tc>
          <w:tcPr>
            <w:tcW w:w="2835" w:type="dxa"/>
            <w:tcBorders>
              <w:bottom w:val="single" w:color="auto" w:sz="4" w:space="0"/>
            </w:tcBorders>
          </w:tcPr>
          <w:p w14:paraId="1AD6C04B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bez greške prepričava slušani tekst.</w:t>
            </w:r>
          </w:p>
        </w:tc>
      </w:tr>
      <w:tr w14:paraId="078FA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bottom w:val="single" w:color="auto" w:sz="4" w:space="0"/>
              <w:right w:val="double" w:color="auto" w:sz="12" w:space="0"/>
            </w:tcBorders>
          </w:tcPr>
          <w:p w14:paraId="5E4201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Izdvaja nepoznate riječi, pretpostavlja značenje riječi na temelju sadržaja teksta i upotrebljava ih.</w:t>
            </w:r>
          </w:p>
        </w:tc>
        <w:tc>
          <w:tcPr>
            <w:tcW w:w="2708" w:type="dxa"/>
            <w:tcBorders>
              <w:left w:val="double" w:color="auto" w:sz="12" w:space="0"/>
              <w:bottom w:val="single" w:color="auto" w:sz="4" w:space="0"/>
            </w:tcBorders>
          </w:tcPr>
          <w:p w14:paraId="254460D1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izdvaja nepoznate riječi, pretpostavlja značenje riječi na temelju sadržaja teksta i upotrebljava ih“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color="auto" w:sz="4" w:space="0"/>
            </w:tcBorders>
          </w:tcPr>
          <w:p w14:paraId="4B42ECAB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Izdvaja nepoznate riječi ali i veći broj poznatih uvrštava pod nepoznate zbog siromašnog vokabulara. Ne pretpostavlja značenje riječi na temelju sadržaja teksta i ne upotrebljava ih samostalno, tek uz poticaj.</w:t>
            </w:r>
          </w:p>
        </w:tc>
        <w:tc>
          <w:tcPr>
            <w:tcW w:w="2552" w:type="dxa"/>
            <w:gridSpan w:val="4"/>
            <w:tcBorders>
              <w:bottom w:val="single" w:color="auto" w:sz="4" w:space="0"/>
            </w:tcBorders>
          </w:tcPr>
          <w:p w14:paraId="617E458B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Izdvaja nepoznate riječi, ali ne pretpostavlja značenje riječi na temelju sadržaja teksta, tek ih nakon pojašnjenja upotrebljava.</w:t>
            </w:r>
          </w:p>
        </w:tc>
        <w:tc>
          <w:tcPr>
            <w:tcW w:w="2551" w:type="dxa"/>
            <w:tcBorders>
              <w:bottom w:val="single" w:color="auto" w:sz="4" w:space="0"/>
            </w:tcBorders>
          </w:tcPr>
          <w:p w14:paraId="443ED524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većoj mjeri izdvaja nepoznate riječi, pretpostavlja značenje riječi na temelju sadržaja teksta i upotrebljava ih uz manja navođenja.</w:t>
            </w:r>
          </w:p>
        </w:tc>
        <w:tc>
          <w:tcPr>
            <w:tcW w:w="2835" w:type="dxa"/>
            <w:tcBorders>
              <w:bottom w:val="single" w:color="auto" w:sz="4" w:space="0"/>
            </w:tcBorders>
          </w:tcPr>
          <w:p w14:paraId="39839248">
            <w:pPr>
              <w:spacing w:after="0" w:line="240" w:lineRule="auto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Izdvaja nepoznate riječi, pretpostavlja značenje riječi na temelju sadržaja teksta i upotrebljava ih ii samostalno traži značenje u rječniku ili putem digitalne tehnologije.</w:t>
            </w:r>
          </w:p>
        </w:tc>
      </w:tr>
      <w:tr w14:paraId="64684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bottom w:val="single" w:color="auto" w:sz="4" w:space="0"/>
              <w:right w:val="double" w:color="auto" w:sz="12" w:space="0"/>
            </w:tcBorders>
          </w:tcPr>
          <w:p w14:paraId="2C8353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Izražava mišljenje o poslušanome tekstu.</w:t>
            </w:r>
          </w:p>
        </w:tc>
        <w:tc>
          <w:tcPr>
            <w:tcW w:w="2708" w:type="dxa"/>
            <w:tcBorders>
              <w:left w:val="double" w:color="auto" w:sz="12" w:space="0"/>
              <w:bottom w:val="single" w:color="auto" w:sz="4" w:space="0"/>
            </w:tcBorders>
          </w:tcPr>
          <w:p w14:paraId="451EEE49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mišljenje o poslušanome tekstu“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color="auto" w:sz="4" w:space="0"/>
            </w:tcBorders>
          </w:tcPr>
          <w:p w14:paraId="4EA8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Izražava mišljenje o poslušanome tekstu kratkim riječima, neprimjerenim standardnom književnom jeziku (super, dobro, lijepo).</w:t>
            </w:r>
          </w:p>
        </w:tc>
        <w:tc>
          <w:tcPr>
            <w:tcW w:w="2552" w:type="dxa"/>
            <w:gridSpan w:val="4"/>
            <w:tcBorders>
              <w:bottom w:val="single" w:color="auto" w:sz="4" w:space="0"/>
            </w:tcBorders>
          </w:tcPr>
          <w:p w14:paraId="29AE04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Izražava mišljenje o slušanom tekstu često ponavljajući tuđa mišljenja, samostalno izražavanje mišljenja često izostaje.</w:t>
            </w:r>
          </w:p>
        </w:tc>
        <w:tc>
          <w:tcPr>
            <w:tcW w:w="2551" w:type="dxa"/>
            <w:tcBorders>
              <w:bottom w:val="single" w:color="auto" w:sz="4" w:space="0"/>
            </w:tcBorders>
          </w:tcPr>
          <w:p w14:paraId="13F2FA1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izražava mišljenje o poslušanome tekstu.</w:t>
            </w:r>
          </w:p>
        </w:tc>
        <w:tc>
          <w:tcPr>
            <w:tcW w:w="2835" w:type="dxa"/>
            <w:tcBorders>
              <w:bottom w:val="single" w:color="auto" w:sz="4" w:space="0"/>
            </w:tcBorders>
          </w:tcPr>
          <w:p w14:paraId="6B70E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Slobodno i bez ikakvog navođenja izražava argumentira stavove o poslušanome tekstu.</w:t>
            </w:r>
          </w:p>
        </w:tc>
      </w:tr>
      <w:tr w14:paraId="5B84C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bottom w:val="single" w:color="auto" w:sz="12" w:space="0"/>
              <w:right w:val="double" w:color="auto" w:sz="12" w:space="0"/>
            </w:tcBorders>
          </w:tcPr>
          <w:p w14:paraId="0E6C93F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Razumije ulogu i korisnost slušanja.</w:t>
            </w:r>
          </w:p>
        </w:tc>
        <w:tc>
          <w:tcPr>
            <w:tcW w:w="2708" w:type="dxa"/>
            <w:tcBorders>
              <w:left w:val="double" w:color="auto" w:sz="12" w:space="0"/>
              <w:bottom w:val="single" w:color="auto" w:sz="12" w:space="0"/>
            </w:tcBorders>
          </w:tcPr>
          <w:p w14:paraId="76758BF9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razumije ulogu i korisnost slušanja“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color="auto" w:sz="12" w:space="0"/>
            </w:tcBorders>
          </w:tcPr>
          <w:p w14:paraId="1687CB7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Slabo razumije ulogu i korisnost slušanja, ne shvaća primjenjivost i korisnost zadanoga zadatka.</w:t>
            </w:r>
          </w:p>
        </w:tc>
        <w:tc>
          <w:tcPr>
            <w:tcW w:w="2552" w:type="dxa"/>
            <w:gridSpan w:val="4"/>
            <w:tcBorders>
              <w:bottom w:val="single" w:color="auto" w:sz="12" w:space="0"/>
            </w:tcBorders>
          </w:tcPr>
          <w:p w14:paraId="72955F6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razumije ulogu i korisnost slušanja.</w:t>
            </w:r>
          </w:p>
        </w:tc>
        <w:tc>
          <w:tcPr>
            <w:tcW w:w="2551" w:type="dxa"/>
            <w:tcBorders>
              <w:bottom w:val="single" w:color="auto" w:sz="12" w:space="0"/>
            </w:tcBorders>
          </w:tcPr>
          <w:p w14:paraId="6779138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većoj mjeri razumije ulogu i korisnost slušanja.</w:t>
            </w:r>
          </w:p>
        </w:tc>
        <w:tc>
          <w:tcPr>
            <w:tcW w:w="2835" w:type="dxa"/>
            <w:tcBorders>
              <w:bottom w:val="single" w:color="auto" w:sz="12" w:space="0"/>
            </w:tcBorders>
          </w:tcPr>
          <w:p w14:paraId="2AF0309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potpunosti razumije ulogu i korisnost slušanja.</w:t>
            </w:r>
          </w:p>
        </w:tc>
      </w:tr>
      <w:tr w14:paraId="29117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104458D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OŠ HJ A.3.3. Učenik čita tekst i pronalazi važne podatke u tekstu.</w:t>
            </w:r>
          </w:p>
        </w:tc>
      </w:tr>
      <w:tr w14:paraId="50509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4" w:space="0"/>
              <w:bottom w:val="single" w:color="auto" w:sz="6" w:space="0"/>
              <w:right w:val="double" w:color="auto" w:sz="12" w:space="0"/>
            </w:tcBorders>
            <w:shd w:val="clear" w:color="auto" w:fill="DEEAF6" w:themeFill="accent1" w:themeFillTint="33"/>
          </w:tcPr>
          <w:p w14:paraId="1E91F878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color="auto" w:sz="12" w:space="0"/>
              <w:left w:val="doub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60F5E3C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542FBDA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468C902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19822C9D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31F648B8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3238D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3DF794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grafičku strukturu teksta: naslov, tijelo teksta, ilustracije i/ili fotografije, rubrike.</w:t>
            </w:r>
          </w:p>
          <w:p w14:paraId="5DFBC56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1ED1F351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grafičku strukturu teksta: naslov, tijelo teksta, ilustracije i/ili fotografije, rubrike“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770228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Djelomično prepoznaje strukturu teksta: naslov, tijelo teksta, ilustracije i/ili fotografije.</w:t>
            </w:r>
          </w:p>
        </w:tc>
        <w:tc>
          <w:tcPr>
            <w:tcW w:w="2552" w:type="dxa"/>
            <w:gridSpan w:val="4"/>
          </w:tcPr>
          <w:p w14:paraId="0A2892B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Prepoznaje  grafičku strukturu teksta: naslov, tijelo teksta, ilustracije i/ili fotografije.</w:t>
            </w:r>
          </w:p>
          <w:p w14:paraId="23EA309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A56377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grafičku strukturu teksta: naslov, tijelo teksta, ilustracije i/ili fotografije, rubrike, uz potpitanja ih objašnjava.</w:t>
            </w:r>
          </w:p>
        </w:tc>
        <w:tc>
          <w:tcPr>
            <w:tcW w:w="2835" w:type="dxa"/>
          </w:tcPr>
          <w:p w14:paraId="561277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samostalno iznosi grafičku strukturu teksta: naslov, tijelo teksta, ilustracije i/ili fotografije, rubrike.</w:t>
            </w:r>
          </w:p>
          <w:p w14:paraId="089AB5B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14:paraId="4AF8D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48E37C0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pročitanome tekstu.</w:t>
            </w:r>
          </w:p>
          <w:p w14:paraId="5A1B2D6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5FA8CB96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o pročitanome tekstu“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6997222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Kratko i nepotpuno odgovara na jednostavna pitanja o pročitanome tekstu.</w:t>
            </w:r>
          </w:p>
        </w:tc>
        <w:tc>
          <w:tcPr>
            <w:tcW w:w="2552" w:type="dxa"/>
            <w:gridSpan w:val="4"/>
          </w:tcPr>
          <w:p w14:paraId="1DA7AD0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poticaj i potpitanja odgovara na pitanja o pročitanome tekstu.</w:t>
            </w:r>
          </w:p>
          <w:p w14:paraId="66069BF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4A524E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odgovara na pitanja o pročitanome tekstu.</w:t>
            </w:r>
          </w:p>
          <w:p w14:paraId="269961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0E84AEF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i bez greške, potpunim rečenicama odgovara na pitanja o pročitanome tekstu.</w:t>
            </w:r>
          </w:p>
          <w:p w14:paraId="65500C6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53CE5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484906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pročitanome tekstu.</w:t>
            </w:r>
          </w:p>
          <w:p w14:paraId="347E9A2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77EBBD26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o pročitanome tekstu“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1338404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predložak postavlja jednostavna pitanja o pročitanome tekstu.</w:t>
            </w:r>
          </w:p>
          <w:p w14:paraId="29C460D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6DC4636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pročitanome tekstu uz jasne smjernice (mjesto i vrijeme radnje i likovi, ali teže postavlja pitanja  kritičkog promišljanja i uzročno-posljedičnih veza.</w:t>
            </w:r>
          </w:p>
        </w:tc>
        <w:tc>
          <w:tcPr>
            <w:tcW w:w="2551" w:type="dxa"/>
          </w:tcPr>
          <w:p w14:paraId="455F40D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postavlja pitanja o pročitanome tekstu, ali je potrebno gramatički neka pitanja ispraviti.</w:t>
            </w:r>
          </w:p>
          <w:p w14:paraId="22259EC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18496C5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Bez predloška postavlja pitanja o pročitanome tekstu, s tim da su postavljena pitanja pravilno strukturirana i skladu s književnim standardnim jezikom.</w:t>
            </w:r>
          </w:p>
        </w:tc>
      </w:tr>
      <w:tr w14:paraId="6871B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2E1EE7E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Pronalazi važne podatke u tekstu.</w:t>
            </w:r>
          </w:p>
          <w:p w14:paraId="72B45A64">
            <w:pPr>
              <w:pStyle w:val="11"/>
              <w:spacing w:after="0" w:line="240" w:lineRule="auto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0BFCB2BB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pronalazi važne podatke u tekstu“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86161E8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Teže pronalazi važne podatke u tekstu, upute za to moraju biti jasne i jednostavne.</w:t>
            </w:r>
          </w:p>
        </w:tc>
        <w:tc>
          <w:tcPr>
            <w:tcW w:w="2552" w:type="dxa"/>
            <w:gridSpan w:val="4"/>
          </w:tcPr>
          <w:p w14:paraId="5A9BB0E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detaljne upute pronalazi važne podatke u tekstu.</w:t>
            </w:r>
          </w:p>
          <w:p w14:paraId="4AF6076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1DE2E2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 većoj mjeri pronalazi važne podatke u tekstu.</w:t>
            </w:r>
          </w:p>
          <w:p w14:paraId="5B86D9A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39CD29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i lako pronalazi važne podatke u tekstu.</w:t>
            </w:r>
          </w:p>
          <w:p w14:paraId="5F58B05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05AAC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6D7F7F7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Pronalazi i objašnjava podatke u grafičkim prikazima.</w:t>
            </w:r>
          </w:p>
          <w:p w14:paraId="4F4AB926">
            <w:pPr>
              <w:spacing w:after="0" w:line="240" w:lineRule="auto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00ADBF73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pronalazi i objašnjava podatke u grafičkim prikazima“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24964DA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Prepoznaje jednostavne podatke u grafičkim prikazima prema zadanom primjeru/predlošku.</w:t>
            </w:r>
          </w:p>
        </w:tc>
        <w:tc>
          <w:tcPr>
            <w:tcW w:w="2552" w:type="dxa"/>
            <w:gridSpan w:val="4"/>
          </w:tcPr>
          <w:p w14:paraId="352F012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Prepoznaje podatke u grafičkim prikazima, ali ih samostalno ne objašnjava.</w:t>
            </w:r>
          </w:p>
        </w:tc>
        <w:tc>
          <w:tcPr>
            <w:tcW w:w="2551" w:type="dxa"/>
          </w:tcPr>
          <w:p w14:paraId="62BF1F5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Pronalazi podatke u grafičkim prikazima i objašnjava ih uz dodatni poticaj.</w:t>
            </w:r>
          </w:p>
          <w:p w14:paraId="674CEF1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92180B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Pronalazi i objašnjava podatke u grafičkim prikazima.</w:t>
            </w:r>
          </w:p>
          <w:p w14:paraId="0D7CBEA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14:paraId="2864C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04016CF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Pojašnjava i popravlja razumijevanje pročitanoga teksta čitajući ponovo tekst.</w:t>
            </w: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45BD6F42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pojašnjava i popravlja razumijevanje pročitanoga teksta čitajući ponovo tekst“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5535327">
            <w:pPr>
              <w:tabs>
                <w:tab w:val="left" w:pos="195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 nakon ponovnog čitanja, teže popravlja razumijevanje pročitanog teksta.</w:t>
            </w:r>
            <w:r>
              <w:rPr>
                <w:rFonts w:cstheme="minorHAnsi"/>
                <w:sz w:val="24"/>
                <w:szCs w:val="24"/>
              </w:rPr>
              <w:tab/>
            </w:r>
          </w:p>
          <w:p w14:paraId="0F620DAC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3FB33908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upute popravlja razumijevanje pročitanoga teksta čitajući ponovo tekst, ali uz navođenje ili slijeđenje uputa.</w:t>
            </w:r>
          </w:p>
        </w:tc>
        <w:tc>
          <w:tcPr>
            <w:tcW w:w="2551" w:type="dxa"/>
          </w:tcPr>
          <w:p w14:paraId="599FAE90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Popravlja razumijevanje pročitanoga teksta čitajući ponovo tekst.</w:t>
            </w:r>
          </w:p>
        </w:tc>
        <w:tc>
          <w:tcPr>
            <w:tcW w:w="2835" w:type="dxa"/>
          </w:tcPr>
          <w:p w14:paraId="5DF8AF2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Pojašnjava i popravlja razumijevanje pročitanoga teksta čitajući ponovo tekst, uočava eventualne greške i propuste te ih ispravlja.</w:t>
            </w:r>
          </w:p>
        </w:tc>
      </w:tr>
      <w:tr w14:paraId="0EB0F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3DC608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Sažima (traži glavne misli) i prepričava tekst.</w:t>
            </w: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713DF62A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sažima (traži glavne misli) i prepričava tekst“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119AEC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Ne sažima samostalno glavne misli, a tekst prepričava uz zadane natuknice i smjernice, često nabrajajući događaje, sve u jednoj rečenici. </w:t>
            </w:r>
          </w:p>
        </w:tc>
        <w:tc>
          <w:tcPr>
            <w:tcW w:w="2552" w:type="dxa"/>
            <w:gridSpan w:val="4"/>
          </w:tcPr>
          <w:p w14:paraId="0152FC83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Prepričava tekst prema smjernicama, ali glavne misli teže samostalno uočava i sažima.</w:t>
            </w:r>
          </w:p>
        </w:tc>
        <w:tc>
          <w:tcPr>
            <w:tcW w:w="2551" w:type="dxa"/>
          </w:tcPr>
          <w:p w14:paraId="67ADD693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Sažima (traži glavne misli) i prepričava tekst. U prepričavanju potrebno više paziti na intonaciju i slaganje rečenica.</w:t>
            </w:r>
          </w:p>
        </w:tc>
        <w:tc>
          <w:tcPr>
            <w:tcW w:w="2835" w:type="dxa"/>
          </w:tcPr>
          <w:p w14:paraId="130DACF5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Pravilno i točno sažima (traži glavne misli) i prepričava tekst sažeto i jasno.</w:t>
            </w:r>
          </w:p>
        </w:tc>
      </w:tr>
      <w:tr w14:paraId="0D4CD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bottom w:val="single" w:color="auto" w:sz="12" w:space="0"/>
              <w:right w:val="double" w:color="auto" w:sz="12" w:space="0"/>
            </w:tcBorders>
          </w:tcPr>
          <w:p w14:paraId="3566D8C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nepoznate riječi i pronalazi njezino značenje na temelju sadržaja teksta i u rječniku.</w:t>
            </w:r>
          </w:p>
        </w:tc>
        <w:tc>
          <w:tcPr>
            <w:tcW w:w="2708" w:type="dxa"/>
            <w:tcBorders>
              <w:left w:val="double" w:color="auto" w:sz="12" w:space="0"/>
              <w:bottom w:val="single" w:color="auto" w:sz="12" w:space="0"/>
            </w:tcBorders>
          </w:tcPr>
          <w:p w14:paraId="45966630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nepoznate riječi i pronalazi njezino značenje na temelju sadržaja teksta i u rječniku“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color="auto" w:sz="12" w:space="0"/>
            </w:tcBorders>
          </w:tcPr>
          <w:p w14:paraId="35DB25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Prepoznaje nepoznate riječi i pronalazi njezino značenje  u rječniku uz pomoć i upute kako se snalaziti u rječniku, ili uz pomoć suučenika.</w:t>
            </w:r>
          </w:p>
        </w:tc>
        <w:tc>
          <w:tcPr>
            <w:tcW w:w="2552" w:type="dxa"/>
            <w:gridSpan w:val="4"/>
            <w:tcBorders>
              <w:bottom w:val="single" w:color="auto" w:sz="12" w:space="0"/>
            </w:tcBorders>
          </w:tcPr>
          <w:p w14:paraId="334874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nepoznate riječi i pronalazi njezino značenje  u rječniku.</w:t>
            </w:r>
          </w:p>
        </w:tc>
        <w:tc>
          <w:tcPr>
            <w:tcW w:w="2551" w:type="dxa"/>
            <w:tcBorders>
              <w:bottom w:val="single" w:color="auto" w:sz="12" w:space="0"/>
            </w:tcBorders>
          </w:tcPr>
          <w:p w14:paraId="7DB34E3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nepoznate riječi i pronalazi njezino značenje na temelju sadržaja teksta i u rječniku.</w:t>
            </w:r>
          </w:p>
        </w:tc>
        <w:tc>
          <w:tcPr>
            <w:tcW w:w="2835" w:type="dxa"/>
            <w:tcBorders>
              <w:bottom w:val="single" w:color="auto" w:sz="12" w:space="0"/>
            </w:tcBorders>
          </w:tcPr>
          <w:p w14:paraId="62CDD40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objašnjava nepoznate riječi te pronalazi njihova značenja na temelju sadržaja teksta i u rječniku. Pomaže u tome i suučenicima.</w:t>
            </w:r>
          </w:p>
        </w:tc>
      </w:tr>
      <w:tr w14:paraId="6E434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top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DEEAF6" w:themeFill="accent1" w:themeFillTint="33"/>
          </w:tcPr>
          <w:p w14:paraId="5820680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A.3.4. Učenik piše vođenim pisanjem jednostavne tekstove u skladu s temom.</w:t>
            </w:r>
          </w:p>
        </w:tc>
      </w:tr>
      <w:tr w14:paraId="49A65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nil"/>
              <w:bottom w:val="single" w:color="auto" w:sz="6" w:space="0"/>
              <w:right w:val="double" w:color="auto" w:sz="12" w:space="0"/>
            </w:tcBorders>
            <w:shd w:val="clear" w:color="auto" w:fill="DEEAF6" w:themeFill="accent1" w:themeFillTint="33"/>
          </w:tcPr>
          <w:p w14:paraId="267FA45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color="auto" w:sz="12" w:space="0"/>
              <w:left w:val="doub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09CF601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73A70436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695976FD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2836ACFD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54974106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78AB0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6" w:space="0"/>
              <w:right w:val="double" w:color="auto" w:sz="12" w:space="0"/>
            </w:tcBorders>
          </w:tcPr>
          <w:p w14:paraId="0D9362C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jednostavne tekstove prema zadanoj ili slobodno odabranoj temi.</w:t>
            </w:r>
          </w:p>
          <w:p w14:paraId="6A40CDC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color="auto" w:sz="6" w:space="0"/>
              <w:left w:val="double" w:color="auto" w:sz="12" w:space="0"/>
            </w:tcBorders>
          </w:tcPr>
          <w:p w14:paraId="5323E7B8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jednostavne tekstove prema zadanoj ili slobodno odabranoj temi“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color="auto" w:sz="6" w:space="0"/>
            </w:tcBorders>
          </w:tcPr>
          <w:p w14:paraId="3F3AD2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jednostavne tekstove prema zadanoj temi uz jasne i jednostavne upute i pojednostavljene zadatke.</w:t>
            </w:r>
          </w:p>
          <w:p w14:paraId="237D6B2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  <w:tcBorders>
              <w:top w:val="single" w:color="auto" w:sz="6" w:space="0"/>
            </w:tcBorders>
          </w:tcPr>
          <w:p w14:paraId="4EBB3FD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jednostavne tekstove prema zadanoj ili slobodno odabranoj temi uz zadane smjernice i upute.</w:t>
            </w:r>
          </w:p>
          <w:p w14:paraId="1D8504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color="auto" w:sz="6" w:space="0"/>
            </w:tcBorders>
          </w:tcPr>
          <w:p w14:paraId="130F23D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jednostavne tekstove prema zadanoj ili slobodno odabranoj temi uz poticaj ili manje greške ( nabrajanje ili korištenje istih riječi pri početku većine rečenica).</w:t>
            </w:r>
          </w:p>
        </w:tc>
        <w:tc>
          <w:tcPr>
            <w:tcW w:w="2835" w:type="dxa"/>
            <w:tcBorders>
              <w:top w:val="single" w:color="auto" w:sz="6" w:space="0"/>
            </w:tcBorders>
          </w:tcPr>
          <w:p w14:paraId="17F708B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jednostavne tekstove prema zadanoj ili slobodno odabranoj temi, kreativno i gramatički i pravopisno pravilno.</w:t>
            </w:r>
          </w:p>
          <w:p w14:paraId="46DF1E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2F9CD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549899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prema predlošcima za uvježbavanje pisanja (neposrednim promatranjem, zamišljanjem, predočavanjem).</w:t>
            </w:r>
          </w:p>
          <w:p w14:paraId="7D4CF0A4">
            <w:pPr>
              <w:spacing w:after="0" w:line="240" w:lineRule="auto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0BB8BF83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prema predlošcima za uvježbavanje pisanja (neposrednim promatranjem, zamišljanjem, predočavanjem)“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B150E4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stalnu pomoć i opetovane greške piše prema predlošcima za uvježbavanje pisanja (neposrednim promatranjem, ali ne i zamišljanjem i predočavanjem).</w:t>
            </w:r>
          </w:p>
          <w:p w14:paraId="4997C8D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71D24E1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Povremeno piše prema predlošcima za uvježbavanje pisanja (neposrednim promatranjem te ponekad zamišljanjem uz dodatna pojašnjenja).</w:t>
            </w:r>
          </w:p>
          <w:p w14:paraId="5F0118E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C0AAD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samostalno i gotovo bez pomoći piše prema predlošcima za uvježbavanje pisanja (neposrednim promatranjem i zamišljanjem)</w:t>
            </w:r>
          </w:p>
          <w:p w14:paraId="482446B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30B7D5F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bez traženja pomoći piše prema predlošcima za uvježbavanje pisanja (neposrednim promatranjem, zamišljanjem, predočavanjem).</w:t>
            </w:r>
          </w:p>
          <w:p w14:paraId="32BA49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08D9E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300663C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vođenim pisanjem pisani sastavak prepoznatljive trodjelne strukture (uvod, glavni dio, završetak).</w:t>
            </w:r>
          </w:p>
          <w:p w14:paraId="002EF482">
            <w:pPr>
              <w:spacing w:after="0" w:line="240" w:lineRule="auto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2466D494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vođenim pisanjem pisani sastavak prepoznatljive trodjelne strukture (uvod, glavni dio, završetak)“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17F5F1D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Prema zadanom predlošku i uz stalna ispravljanja i nadgledanja piše vođenim pisanjem pisani sastavak prepoznatljive trodjelne strukture (uvod, glavni dio, završetak).</w:t>
            </w:r>
          </w:p>
        </w:tc>
        <w:tc>
          <w:tcPr>
            <w:tcW w:w="2552" w:type="dxa"/>
            <w:gridSpan w:val="4"/>
          </w:tcPr>
          <w:p w14:paraId="514B45D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dobro razrađen plan pisanja i odgovarajuću povratnu informaciju od učitelja piše vođenim pisanjem pisani sastavak prepoznatljive trodjelne strukture (uvod, glavni dio, završetak).</w:t>
            </w:r>
          </w:p>
        </w:tc>
        <w:tc>
          <w:tcPr>
            <w:tcW w:w="2551" w:type="dxa"/>
          </w:tcPr>
          <w:p w14:paraId="6B92B6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vođenim pisanjem pisani sastavak prepoznatljive trodjelne strukture (uvod, glavni dio, završetak) uglavnom samostalno i točno, uz manje greške u strukturi.</w:t>
            </w:r>
          </w:p>
          <w:p w14:paraId="4FC3B55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21132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potpunosti piše vođenim pisanjem pisani sastavak prepoznatljive trodjelne strukture (uvod, glavni dio, završetak) točno i pravilno.</w:t>
            </w:r>
          </w:p>
        </w:tc>
      </w:tr>
      <w:tr w14:paraId="48C08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2A3C268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različite kratke tekstove: čestitka, kratka e-poruka, pisani sastavak.</w:t>
            </w: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609F1349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različite kratke tekstove: čestitka, kratka e-poruka, pisani sastavak“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51B3B63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Isključivo uz predložak ili dobro sastavljen plan/koncept piše kratak tekst (sastavak).</w:t>
            </w:r>
          </w:p>
        </w:tc>
        <w:tc>
          <w:tcPr>
            <w:tcW w:w="2552" w:type="dxa"/>
            <w:gridSpan w:val="4"/>
          </w:tcPr>
          <w:p w14:paraId="7662BFA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Piše samo neke kratke tekstove: čestitka/pisani sastavak uz dodatna pojašnjenja.</w:t>
            </w:r>
          </w:p>
        </w:tc>
        <w:tc>
          <w:tcPr>
            <w:tcW w:w="2551" w:type="dxa"/>
          </w:tcPr>
          <w:p w14:paraId="45609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različite kratke tekstove: čestitka i/ili pisani sastavak.</w:t>
            </w:r>
          </w:p>
        </w:tc>
        <w:tc>
          <w:tcPr>
            <w:tcW w:w="2835" w:type="dxa"/>
          </w:tcPr>
          <w:p w14:paraId="2673EFB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piše različite kratke tekstove: čestitka, kratka e-poruka, pisani sastavak.</w:t>
            </w:r>
          </w:p>
        </w:tc>
      </w:tr>
      <w:tr w14:paraId="287E1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1E0287E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Provjerava pravopisnu točnost i slovopisnu čitkost u pisanju.</w:t>
            </w: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622384AC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provjerava pravopisnu točnost i slovopisnu čitkost u pisanju“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07A5B4B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prilično teško provjerava pravopisnu točnost i slovopisnu čitkost u pisanju. Razina znanja ne omogućuje primjenu istog jer je izrazito slaba razina znanja.</w:t>
            </w:r>
          </w:p>
        </w:tc>
        <w:tc>
          <w:tcPr>
            <w:tcW w:w="2552" w:type="dxa"/>
            <w:gridSpan w:val="4"/>
          </w:tcPr>
          <w:p w14:paraId="7B11CDF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Pokušava provjeriti pravopisnu točnost i slovopisnu čitkost u pisanju, ali djelomična uspješnost se postiže čineći navedeno prema zadanom predlošku ili primjeru ostalih suučenika.</w:t>
            </w:r>
          </w:p>
        </w:tc>
        <w:tc>
          <w:tcPr>
            <w:tcW w:w="2551" w:type="dxa"/>
          </w:tcPr>
          <w:p w14:paraId="7516F9C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Provjerava pravopisnu točnost i slovopisnu čitkost u pisanju uz zadane smjernice od strane učitelja.</w:t>
            </w:r>
          </w:p>
        </w:tc>
        <w:tc>
          <w:tcPr>
            <w:tcW w:w="2835" w:type="dxa"/>
          </w:tcPr>
          <w:p w14:paraId="0D7A50E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Provjerava i ispravlja u okviru svog znanja i vladanja sadržajima pravopisnu točnost i slovopisnu čitkost u pisanju, ali isto tako prepoznaje i razlikuje te pojašnjava određene greške u čitanju i pisanju kod suučenika.</w:t>
            </w:r>
          </w:p>
        </w:tc>
      </w:tr>
      <w:tr w14:paraId="582E0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bottom w:val="single" w:color="auto" w:sz="4" w:space="0"/>
              <w:right w:val="double" w:color="auto" w:sz="12" w:space="0"/>
            </w:tcBorders>
          </w:tcPr>
          <w:p w14:paraId="08D76B3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koje su dio aktivnoga rječnika u kojima su glasovi č, ć, dž, đ, ije/je/e/i (umanjenice, uvećanice, zanimanja).</w:t>
            </w:r>
          </w:p>
        </w:tc>
        <w:tc>
          <w:tcPr>
            <w:tcW w:w="2708" w:type="dxa"/>
            <w:tcBorders>
              <w:left w:val="double" w:color="auto" w:sz="12" w:space="0"/>
              <w:bottom w:val="single" w:color="auto" w:sz="4" w:space="0"/>
            </w:tcBorders>
          </w:tcPr>
          <w:p w14:paraId="4B37F12B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ogledne i česte riječi koje su dio aktivnoga rječnika u kojima su glasovi č, ć, dž, đ, ije/je/e/i (umanjenice, uvećanice, zanimanja)“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color="auto" w:sz="4" w:space="0"/>
            </w:tcBorders>
          </w:tcPr>
          <w:p w14:paraId="3C2BEB9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Prepisuje ogledne i česte riječi koje su dio aktivnoga rječnika u kojima su glasovi č, ć, dž, đ, ije/je/e/i (umanjenice, uvećanice, zanimanja), ali i u prijepisu često griješi. Umanjenice i uvećanice rijetko izvodi samostalno i pravilno.</w:t>
            </w:r>
          </w:p>
        </w:tc>
        <w:tc>
          <w:tcPr>
            <w:tcW w:w="2552" w:type="dxa"/>
            <w:gridSpan w:val="4"/>
            <w:tcBorders>
              <w:bottom w:val="single" w:color="auto" w:sz="4" w:space="0"/>
            </w:tcBorders>
          </w:tcPr>
          <w:p w14:paraId="7BF8F78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piše ogledne i česte riječi koje su dio aktivnoga rječnika u kojima su glasovi č, ć, dž, đ, ije/je/e/i (umanjenice, uvećanice, zanimanja), ali dosta često ne razlikuje glasove č i ć, ili dž i đ te ije i je. Prijepisi umanjenica i uvećanica su uspješni, ali u samostalnom izvođenju istih prilično griješi.</w:t>
            </w:r>
          </w:p>
        </w:tc>
        <w:tc>
          <w:tcPr>
            <w:tcW w:w="2551" w:type="dxa"/>
            <w:tcBorders>
              <w:bottom w:val="single" w:color="auto" w:sz="4" w:space="0"/>
            </w:tcBorders>
          </w:tcPr>
          <w:p w14:paraId="193E19A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točno i pravilno piše ogledne i česte riječi koje su dio aktivnoga rječnika u kojima su glasovi č, ć, dž, đ, ije/je/e/i (umanjenice, uvećanice, zanimanja).</w:t>
            </w:r>
          </w:p>
        </w:tc>
        <w:tc>
          <w:tcPr>
            <w:tcW w:w="2835" w:type="dxa"/>
            <w:tcBorders>
              <w:bottom w:val="single" w:color="auto" w:sz="4" w:space="0"/>
            </w:tcBorders>
          </w:tcPr>
          <w:p w14:paraId="7E6A899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Aktivno i svakodnevno te s lakoćom piše ogledne i česte riječi koje su dio aktivnoga rječnika u kojima su glasovi č, ć, dž, đ, ije/je/e/i (umanjenice, uvećanice, zanimanja).</w:t>
            </w:r>
          </w:p>
        </w:tc>
      </w:tr>
      <w:tr w14:paraId="3F856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bottom w:val="single" w:color="auto" w:sz="8" w:space="0"/>
              <w:right w:val="double" w:color="auto" w:sz="12" w:space="0"/>
            </w:tcBorders>
          </w:tcPr>
          <w:p w14:paraId="78FAA78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veliko početno slovo: imena ulica, trgova, naseljenih mjesta, voda i gora, ustanova u užem okružju; imena knjiga i novina.</w:t>
            </w:r>
          </w:p>
        </w:tc>
        <w:tc>
          <w:tcPr>
            <w:tcW w:w="2708" w:type="dxa"/>
            <w:tcBorders>
              <w:left w:val="double" w:color="auto" w:sz="12" w:space="0"/>
              <w:bottom w:val="single" w:color="auto" w:sz="8" w:space="0"/>
            </w:tcBorders>
          </w:tcPr>
          <w:p w14:paraId="42FA32E6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veliko početno slovo: imena ulica, trgova, naseljenih mjesta, voda i gora, ustanova u užem okružju; imena knjiga i novina“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color="auto" w:sz="8" w:space="0"/>
            </w:tcBorders>
          </w:tcPr>
          <w:p w14:paraId="137F6C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Ponavlja greške u pisanju velikoga slova što pokazuje nedovoljnu usvojenost pravila i primjenu istoga (neshvaćanje) u pisanju velikog početnog slova.</w:t>
            </w:r>
          </w:p>
        </w:tc>
        <w:tc>
          <w:tcPr>
            <w:tcW w:w="2552" w:type="dxa"/>
            <w:gridSpan w:val="4"/>
            <w:tcBorders>
              <w:bottom w:val="single" w:color="auto" w:sz="8" w:space="0"/>
            </w:tcBorders>
          </w:tcPr>
          <w:p w14:paraId="1A6EBD3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točno piše veliko početno slovo zbog nedovoljne uvježbanosti ili poimanja pravila o pisanju velikog slova.</w:t>
            </w:r>
          </w:p>
        </w:tc>
        <w:tc>
          <w:tcPr>
            <w:tcW w:w="2551" w:type="dxa"/>
            <w:tcBorders>
              <w:bottom w:val="single" w:color="auto" w:sz="8" w:space="0"/>
            </w:tcBorders>
          </w:tcPr>
          <w:p w14:paraId="255E460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poneke greške, koje pri ukazivanju na njih uklanja, piše veliko početno slovo.</w:t>
            </w:r>
          </w:p>
        </w:tc>
        <w:tc>
          <w:tcPr>
            <w:tcW w:w="2835" w:type="dxa"/>
            <w:tcBorders>
              <w:bottom w:val="single" w:color="auto" w:sz="8" w:space="0"/>
            </w:tcBorders>
          </w:tcPr>
          <w:p w14:paraId="2CB1E4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Razumije pravila i točno ih primjenjuje u pisanju velikog početnog slova.</w:t>
            </w:r>
          </w:p>
        </w:tc>
      </w:tr>
      <w:tr w14:paraId="531B2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bottom w:val="single" w:color="auto" w:sz="8" w:space="0"/>
              <w:right w:val="double" w:color="auto" w:sz="12" w:space="0"/>
            </w:tcBorders>
          </w:tcPr>
          <w:p w14:paraId="7CC1183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pravilo pisanja čestih višerječnih imena.</w:t>
            </w:r>
          </w:p>
        </w:tc>
        <w:tc>
          <w:tcPr>
            <w:tcW w:w="2708" w:type="dxa"/>
            <w:tcBorders>
              <w:left w:val="double" w:color="auto" w:sz="12" w:space="0"/>
              <w:bottom w:val="single" w:color="auto" w:sz="8" w:space="0"/>
            </w:tcBorders>
          </w:tcPr>
          <w:p w14:paraId="16CB0638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primjenjuje pravilo pisanja čestih višerječnih imena“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color="auto" w:sz="8" w:space="0"/>
            </w:tcBorders>
          </w:tcPr>
          <w:p w14:paraId="05BA5F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ne primjenjuje pravilo pisanja čestih višerječnih imena, uz navođenje ih piše djelomično uspješno.</w:t>
            </w:r>
          </w:p>
        </w:tc>
        <w:tc>
          <w:tcPr>
            <w:tcW w:w="2552" w:type="dxa"/>
            <w:gridSpan w:val="4"/>
            <w:tcBorders>
              <w:bottom w:val="single" w:color="auto" w:sz="8" w:space="0"/>
            </w:tcBorders>
          </w:tcPr>
          <w:p w14:paraId="59E0EF3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ponekad točno primjenjuje pravilo pisanja čestih višerječnih imena, ali je potrebno ispravljanje i ponavljanje pravila i uputa.</w:t>
            </w:r>
          </w:p>
        </w:tc>
        <w:tc>
          <w:tcPr>
            <w:tcW w:w="2551" w:type="dxa"/>
            <w:tcBorders>
              <w:bottom w:val="single" w:color="auto" w:sz="8" w:space="0"/>
            </w:tcBorders>
          </w:tcPr>
          <w:p w14:paraId="254737C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poznatim primjerima primjenjuje pravilo pisanja čestih višerječnih imena.</w:t>
            </w:r>
          </w:p>
        </w:tc>
        <w:tc>
          <w:tcPr>
            <w:tcW w:w="2835" w:type="dxa"/>
            <w:tcBorders>
              <w:bottom w:val="single" w:color="auto" w:sz="8" w:space="0"/>
            </w:tcBorders>
          </w:tcPr>
          <w:p w14:paraId="38348D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Slobodno i jasno primjenjuje pravilo pisanja čestih višerječnih imena. Usvojena znanja primjenjuje na nova i samostalno ih produbljuje.</w:t>
            </w:r>
          </w:p>
        </w:tc>
      </w:tr>
      <w:tr w14:paraId="450CA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8" w:space="0"/>
              <w:bottom w:val="single" w:color="auto" w:sz="12" w:space="0"/>
              <w:right w:val="double" w:color="auto" w:sz="12" w:space="0"/>
            </w:tcBorders>
          </w:tcPr>
          <w:p w14:paraId="53D526C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dvotočku i zarez u nabrajanju.</w:t>
            </w:r>
          </w:p>
        </w:tc>
        <w:tc>
          <w:tcPr>
            <w:tcW w:w="2708" w:type="dxa"/>
            <w:tcBorders>
              <w:top w:val="single" w:color="auto" w:sz="8" w:space="0"/>
              <w:left w:val="double" w:color="auto" w:sz="12" w:space="0"/>
              <w:bottom w:val="single" w:color="auto" w:sz="12" w:space="0"/>
            </w:tcBorders>
          </w:tcPr>
          <w:p w14:paraId="333E2DF6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dvotočku i zarez u nabrajanju“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color="auto" w:sz="8" w:space="0"/>
              <w:bottom w:val="single" w:color="auto" w:sz="12" w:space="0"/>
            </w:tcBorders>
          </w:tcPr>
          <w:p w14:paraId="737605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piše dvotočku i zarez u nabrajanju, ali ih često nepravilno koristi.</w:t>
            </w:r>
          </w:p>
        </w:tc>
        <w:tc>
          <w:tcPr>
            <w:tcW w:w="2552" w:type="dxa"/>
            <w:gridSpan w:val="4"/>
            <w:tcBorders>
              <w:top w:val="single" w:color="auto" w:sz="8" w:space="0"/>
              <w:bottom w:val="single" w:color="auto" w:sz="12" w:space="0"/>
            </w:tcBorders>
          </w:tcPr>
          <w:p w14:paraId="72F283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Relativno uspješno uz dobro pojašnjen zadatak i slijedeći primjer piše dvotočku i zarez u nabrajanju.</w:t>
            </w:r>
          </w:p>
          <w:p w14:paraId="11C345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</w:tcPr>
          <w:p w14:paraId="0B4114F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greške piše dvotočku i zarez u nabrajanju.</w:t>
            </w:r>
          </w:p>
        </w:tc>
        <w:tc>
          <w:tcPr>
            <w:tcW w:w="2835" w:type="dxa"/>
            <w:tcBorders>
              <w:top w:val="single" w:color="auto" w:sz="8" w:space="0"/>
              <w:bottom w:val="single" w:color="auto" w:sz="12" w:space="0"/>
            </w:tcBorders>
          </w:tcPr>
          <w:p w14:paraId="5ACEA7E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te bez greške piše dvotočku i zarez u nabrajanju.</w:t>
            </w:r>
          </w:p>
        </w:tc>
      </w:tr>
      <w:tr w14:paraId="49E3E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DEEAF6" w:themeFill="accent1" w:themeFillTint="33"/>
          </w:tcPr>
          <w:p w14:paraId="118F587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OŠ HJ A.3.5. Učenik oblikuje tekst služeći se imenicama, glagolima i pridjevima, </w:t>
            </w:r>
          </w:p>
          <w:p w14:paraId="4341AF0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uvažavajući gramatička i pravopisna pravila.</w:t>
            </w:r>
          </w:p>
        </w:tc>
      </w:tr>
      <w:tr w14:paraId="79080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12" w:space="0"/>
              <w:bottom w:val="single" w:color="auto" w:sz="12" w:space="0"/>
              <w:right w:val="double" w:color="auto" w:sz="12" w:space="0"/>
            </w:tcBorders>
            <w:shd w:val="clear" w:color="auto" w:fill="DEEAF6" w:themeFill="accent1" w:themeFillTint="33"/>
          </w:tcPr>
          <w:p w14:paraId="464EDC6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color="auto" w:sz="12" w:space="0"/>
              <w:left w:val="double" w:color="auto" w:sz="12" w:space="0"/>
              <w:bottom w:val="single" w:color="auto" w:sz="12" w:space="0"/>
            </w:tcBorders>
            <w:shd w:val="clear" w:color="auto" w:fill="FFFFFF" w:themeFill="background1"/>
          </w:tcPr>
          <w:p w14:paraId="5A6AC47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12" w:space="0"/>
            </w:tcBorders>
            <w:shd w:val="clear" w:color="auto" w:fill="FFFFFF" w:themeFill="background1"/>
          </w:tcPr>
          <w:p w14:paraId="4CFF1F8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bottom w:val="single" w:color="auto" w:sz="12" w:space="0"/>
            </w:tcBorders>
            <w:shd w:val="clear" w:color="auto" w:fill="FFFFFF" w:themeFill="background1"/>
          </w:tcPr>
          <w:p w14:paraId="72688CC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color="auto" w:sz="12" w:space="0"/>
              <w:bottom w:val="single" w:color="auto" w:sz="12" w:space="0"/>
            </w:tcBorders>
            <w:shd w:val="clear" w:color="auto" w:fill="FFFFFF" w:themeFill="background1"/>
          </w:tcPr>
          <w:p w14:paraId="2FEC896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color="auto" w:sz="12" w:space="0"/>
              <w:bottom w:val="single" w:color="auto" w:sz="12" w:space="0"/>
            </w:tcBorders>
            <w:shd w:val="clear" w:color="auto" w:fill="FFFFFF" w:themeFill="background1"/>
          </w:tcPr>
          <w:p w14:paraId="205F09CF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1C72D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12" w:space="0"/>
              <w:bottom w:val="single" w:color="auto" w:sz="4" w:space="0"/>
              <w:right w:val="double" w:color="auto" w:sz="12" w:space="0"/>
            </w:tcBorders>
            <w:shd w:val="clear" w:color="auto" w:fill="FFFFFF" w:themeFill="background1"/>
          </w:tcPr>
          <w:p w14:paraId="44EEACC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glagolsku radnju, stanje ili zbivanje na oglednim primjerima.</w:t>
            </w:r>
          </w:p>
          <w:p w14:paraId="1366122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color="auto" w:sz="12" w:space="0"/>
              <w:left w:val="doub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4DD311D2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glagolsku radnju, stanje ili zbivanje na oglednim primjerima“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3214D384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Djelomično prepoznaje neku od glagolskih radnji, stanje ili zbivanje na oglednim primjerima.</w:t>
            </w:r>
          </w:p>
          <w:p w14:paraId="355F9336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64033F59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Prepoznaje neku od glagolskih radnji, stanje ili zbivanje na oglednim primjerima.</w:t>
            </w:r>
          </w:p>
          <w:p w14:paraId="2E9F440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tcBorders>
              <w:top w:val="sing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6BA235B6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Uočava glagolsku radnju, stanje ili zbivanje na oglednim primjerima.</w:t>
            </w:r>
          </w:p>
          <w:p w14:paraId="2F00957C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48F37509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Uočava i razlikuje glagolsku radnju, stanje ili zbivanje na oglednim primjerima i daje svoje primjere.</w:t>
            </w:r>
          </w:p>
          <w:p w14:paraId="44737596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</w:p>
        </w:tc>
      </w:tr>
      <w:tr w14:paraId="7A044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4" w:space="0"/>
              <w:bottom w:val="single" w:color="auto" w:sz="4" w:space="0"/>
              <w:right w:val="double" w:color="auto" w:sz="12" w:space="0"/>
            </w:tcBorders>
            <w:shd w:val="clear" w:color="auto" w:fill="FFFFFF" w:themeFill="background1"/>
          </w:tcPr>
          <w:p w14:paraId="7C9CED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pridjeve uz imenice da bi stvorio življu i potpuniju sliku.</w:t>
            </w:r>
          </w:p>
          <w:p w14:paraId="2B4F6BDD">
            <w:pPr>
              <w:spacing w:after="0" w:line="240" w:lineRule="auto"/>
              <w:rPr>
                <w:rFonts w:cstheme="minorHAnsi"/>
                <w:b/>
                <w:sz w:val="24"/>
              </w:rPr>
            </w:pPr>
          </w:p>
        </w:tc>
        <w:tc>
          <w:tcPr>
            <w:tcW w:w="2708" w:type="dxa"/>
            <w:tcBorders>
              <w:top w:val="single" w:color="auto" w:sz="4" w:space="0"/>
              <w:left w:val="doub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20E9D195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pridjeve uz imenice da bi stvorio življu i potpuniju sliku“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451A01DE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Samo prema predlošku prepisuje iz primjera pridjeve uz zadane imenice kako bi izvršio zadatak, ali ne i da bi stvorio življu i potpuniju sliku.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1C67918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Prema uputama i metodom razvrstavanja piše pridjeve uz imenice da bi ostvario zadatak, ali ne i da bi stvorio življu i potpuniju sliku.</w:t>
            </w:r>
          </w:p>
        </w:tc>
        <w:tc>
          <w:tcPr>
            <w:tcW w:w="255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FD6D0D0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Piše pridjeve uz imenice da bi stvorio življu i potpuniju sliku uz povremeno pojašnjenje zadatka.</w:t>
            </w:r>
          </w:p>
          <w:p w14:paraId="06204039">
            <w:pPr>
              <w:spacing w:after="0" w:line="240" w:lineRule="auto"/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0F15861F">
            <w:pPr>
              <w:tabs>
                <w:tab w:val="left" w:pos="195"/>
              </w:tabs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Piše pridjeve uz imenice da bi stvorio življu i potpuniju sliku, samostalno ih smišlja i pridaje imenicama.</w:t>
            </w:r>
          </w:p>
          <w:p w14:paraId="1E4C8E85">
            <w:pPr>
              <w:spacing w:after="0" w:line="240" w:lineRule="auto"/>
              <w:rPr>
                <w:rFonts w:cstheme="minorHAnsi"/>
                <w:b/>
                <w:sz w:val="24"/>
              </w:rPr>
            </w:pPr>
          </w:p>
        </w:tc>
      </w:tr>
      <w:tr w14:paraId="6EE9B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4" w:space="0"/>
              <w:bottom w:val="single" w:color="auto" w:sz="4" w:space="0"/>
              <w:right w:val="double" w:color="auto" w:sz="12" w:space="0"/>
            </w:tcBorders>
            <w:shd w:val="clear" w:color="auto" w:fill="FFFFFF" w:themeFill="background1"/>
          </w:tcPr>
          <w:p w14:paraId="11137EF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glagole i pridjeve na oglednim primjerima.</w:t>
            </w:r>
          </w:p>
          <w:p w14:paraId="33F9B6CC">
            <w:pPr>
              <w:spacing w:after="0" w:line="240" w:lineRule="auto"/>
              <w:rPr>
                <w:rFonts w:cstheme="minorHAnsi"/>
                <w:b/>
                <w:sz w:val="24"/>
              </w:rPr>
            </w:pPr>
          </w:p>
        </w:tc>
        <w:tc>
          <w:tcPr>
            <w:tcW w:w="2708" w:type="dxa"/>
            <w:tcBorders>
              <w:top w:val="single" w:color="auto" w:sz="4" w:space="0"/>
              <w:left w:val="doub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0DE68262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glagole i pridjeve na oglednim primjerima“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5F24AE02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Djelomično prepoznaje glagole i pridjeve na oglednim primjerima.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7D0840D">
            <w:pPr>
              <w:tabs>
                <w:tab w:val="left" w:pos="225"/>
              </w:tabs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Prepoznaje glagole i pridjeve na oglednim primjerima.</w:t>
            </w:r>
          </w:p>
          <w:p w14:paraId="1D347CB6">
            <w:pPr>
              <w:spacing w:after="0" w:line="240" w:lineRule="auto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5566B53F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Prepoznaje i razlikuje glagole i pridjeve na zadanim primjerima,</w:t>
            </w:r>
          </w:p>
          <w:p w14:paraId="01A120DF">
            <w:pPr>
              <w:spacing w:after="0" w:line="240" w:lineRule="auto"/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60441983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Prepoznaje, razlikuje i objašnjava glagole i pridjeve na svim zadanim primjerima.</w:t>
            </w:r>
          </w:p>
          <w:p w14:paraId="1D76BAD2">
            <w:pPr>
              <w:spacing w:after="0" w:line="240" w:lineRule="auto"/>
              <w:rPr>
                <w:rFonts w:cstheme="minorHAnsi"/>
                <w:b/>
                <w:sz w:val="24"/>
              </w:rPr>
            </w:pPr>
          </w:p>
        </w:tc>
      </w:tr>
      <w:tr w14:paraId="23F2A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4" w:space="0"/>
              <w:bottom w:val="single" w:color="auto" w:sz="4" w:space="0"/>
              <w:right w:val="double" w:color="auto" w:sz="12" w:space="0"/>
            </w:tcBorders>
            <w:shd w:val="clear" w:color="auto" w:fill="FFFFFF" w:themeFill="background1"/>
          </w:tcPr>
          <w:p w14:paraId="177B2CE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ogledne i česte umanjenice i uvećanice.</w:t>
            </w:r>
          </w:p>
          <w:p w14:paraId="6B757E4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708" w:type="dxa"/>
            <w:tcBorders>
              <w:top w:val="single" w:color="auto" w:sz="4" w:space="0"/>
              <w:left w:val="doub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157AD2D3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ogledne i česte umanjenice i uvećanice“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F939873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Djelomično prepoznaje ogledne i česte umanjenice i uvećanice.</w:t>
            </w:r>
          </w:p>
          <w:p w14:paraId="23F6988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4C4C2FCB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Prepoznaje ogledne i česte umanjenice i uvećanice.</w:t>
            </w:r>
          </w:p>
          <w:p w14:paraId="464675D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1D26B8B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Prepoznaje i razlikuje umanjenice i uvećanice u tekstu.</w:t>
            </w:r>
          </w:p>
          <w:p w14:paraId="1824A50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0748372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Prepoznaje, razlikuje i objašnjava sve umanjenice i uvećanice u tekstu.</w:t>
            </w:r>
          </w:p>
          <w:p w14:paraId="50DC0683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</w:p>
        </w:tc>
      </w:tr>
      <w:tr w14:paraId="615A8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4" w:space="0"/>
              <w:bottom w:val="single" w:color="auto" w:sz="12" w:space="0"/>
              <w:right w:val="double" w:color="auto" w:sz="12" w:space="0"/>
            </w:tcBorders>
            <w:shd w:val="clear" w:color="auto" w:fill="FFFFFF" w:themeFill="background1"/>
          </w:tcPr>
          <w:p w14:paraId="2F94300C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jesnu i niječnu rečenicu.</w:t>
            </w:r>
          </w:p>
        </w:tc>
        <w:tc>
          <w:tcPr>
            <w:tcW w:w="2708" w:type="dxa"/>
            <w:tcBorders>
              <w:top w:val="single" w:color="auto" w:sz="4" w:space="0"/>
              <w:left w:val="double" w:color="auto" w:sz="12" w:space="0"/>
              <w:bottom w:val="single" w:color="auto" w:sz="12" w:space="0"/>
            </w:tcBorders>
            <w:shd w:val="clear" w:color="auto" w:fill="FFFFFF" w:themeFill="background1"/>
          </w:tcPr>
          <w:p w14:paraId="691EF544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jesnu i niječnu rečenicu“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  <w:p w14:paraId="105360D5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6304100D">
            <w:pPr>
              <w:spacing w:after="0" w:line="240" w:lineRule="auto"/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bottom w:val="single" w:color="auto" w:sz="12" w:space="0"/>
            </w:tcBorders>
            <w:shd w:val="clear" w:color="auto" w:fill="FFFFFF" w:themeFill="background1"/>
          </w:tcPr>
          <w:p w14:paraId="2DE8BECE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Djelomično prepoznaje jesnu i niječnu rečenicu.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  <w:bottom w:val="single" w:color="auto" w:sz="12" w:space="0"/>
            </w:tcBorders>
            <w:shd w:val="clear" w:color="auto" w:fill="FFFFFF" w:themeFill="background1"/>
          </w:tcPr>
          <w:p w14:paraId="54ECB6E2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Prepoznaje jesnu i niječnu rečenicu.</w:t>
            </w:r>
          </w:p>
        </w:tc>
        <w:tc>
          <w:tcPr>
            <w:tcW w:w="2551" w:type="dxa"/>
            <w:tcBorders>
              <w:top w:val="single" w:color="auto" w:sz="4" w:space="0"/>
              <w:bottom w:val="single" w:color="auto" w:sz="12" w:space="0"/>
            </w:tcBorders>
            <w:shd w:val="clear" w:color="auto" w:fill="FFFFFF" w:themeFill="background1"/>
          </w:tcPr>
          <w:p w14:paraId="1830D1F9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Prepoznaje i razlikuje jesnu i niječnu rečenicu.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12" w:space="0"/>
            </w:tcBorders>
            <w:shd w:val="clear" w:color="auto" w:fill="FFFFFF" w:themeFill="background1"/>
          </w:tcPr>
          <w:p w14:paraId="23F3F714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Razlikuje i objašnjava jesnu i niječnu rečenicu.</w:t>
            </w:r>
          </w:p>
        </w:tc>
      </w:tr>
      <w:tr w14:paraId="3D512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DEEAF6" w:themeFill="accent1" w:themeFillTint="33"/>
          </w:tcPr>
          <w:p w14:paraId="691C168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OŠ HJ A.3.6. Učenik razlikuje uporabu zavičajnoga govora i hrvatskoga standardnog jezika </w:t>
            </w:r>
          </w:p>
          <w:p w14:paraId="759A58E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4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s obzirom na komunikacijsku situaciju.</w:t>
            </w:r>
          </w:p>
        </w:tc>
      </w:tr>
      <w:tr w14:paraId="0B170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12" w:space="0"/>
              <w:bottom w:val="single" w:color="auto" w:sz="12" w:space="0"/>
              <w:right w:val="double" w:color="auto" w:sz="12" w:space="0"/>
            </w:tcBorders>
            <w:shd w:val="clear" w:color="auto" w:fill="DEEAF6" w:themeFill="accent1" w:themeFillTint="33"/>
          </w:tcPr>
          <w:p w14:paraId="6D54F4A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color="auto" w:sz="12" w:space="0"/>
              <w:left w:val="double" w:color="auto" w:sz="12" w:space="0"/>
              <w:bottom w:val="single" w:color="auto" w:sz="12" w:space="0"/>
            </w:tcBorders>
            <w:shd w:val="clear" w:color="auto" w:fill="FFFFFF" w:themeFill="background1"/>
          </w:tcPr>
          <w:p w14:paraId="6F3B2C1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12" w:space="0"/>
            </w:tcBorders>
            <w:shd w:val="clear" w:color="auto" w:fill="FFFFFF" w:themeFill="background1"/>
          </w:tcPr>
          <w:p w14:paraId="4C187F9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bottom w:val="single" w:color="auto" w:sz="12" w:space="0"/>
            </w:tcBorders>
            <w:shd w:val="clear" w:color="auto" w:fill="FFFFFF" w:themeFill="background1"/>
          </w:tcPr>
          <w:p w14:paraId="62E3DE6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color="auto" w:sz="12" w:space="0"/>
              <w:bottom w:val="single" w:color="auto" w:sz="12" w:space="0"/>
            </w:tcBorders>
            <w:shd w:val="clear" w:color="auto" w:fill="FFFFFF" w:themeFill="background1"/>
          </w:tcPr>
          <w:p w14:paraId="5AD9179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color="auto" w:sz="12" w:space="0"/>
              <w:bottom w:val="single" w:color="auto" w:sz="12" w:space="0"/>
            </w:tcBorders>
            <w:shd w:val="clear" w:color="auto" w:fill="FFFFFF" w:themeFill="background1"/>
          </w:tcPr>
          <w:p w14:paraId="556B292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27AB5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680" w:type="dxa"/>
            <w:tcBorders>
              <w:top w:val="single" w:color="auto" w:sz="12" w:space="0"/>
              <w:bottom w:val="single" w:color="auto" w:sz="4" w:space="0"/>
              <w:right w:val="double" w:color="auto" w:sz="12" w:space="0"/>
            </w:tcBorders>
            <w:shd w:val="clear" w:color="auto" w:fill="FFFFFF" w:themeFill="background1"/>
          </w:tcPr>
          <w:p w14:paraId="0EB189D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uvjetovanost uporabe zavičajnoga idioma ili hrvatskoga standardnog jezika komunikacijskom situacijom.</w:t>
            </w:r>
          </w:p>
        </w:tc>
        <w:tc>
          <w:tcPr>
            <w:tcW w:w="2708" w:type="dxa"/>
            <w:tcBorders>
              <w:top w:val="single" w:color="auto" w:sz="12" w:space="0"/>
              <w:left w:val="doub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4C0179F5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uvjetovanost uporabe zavičajnoga idioma ili hrvatskoga standardnog jezika komunikacijskom situacijom“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6FB09414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Prepoznaje uvjetovanost uporabe zavičajnoga idioma (poznate primjere) ili hrvatskoga standardnog jezika komunikacijskom situacijom (poznata komunikacija i poznate fraze/izrazi).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642DA891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Prepoznaje uvjetovanost uporabe zavičajnoga idioma ili hrvatskoga standardnog jezika komunikacijskom situacijom ukoliko su poznati ili daje primjer.</w:t>
            </w:r>
          </w:p>
        </w:tc>
        <w:tc>
          <w:tcPr>
            <w:tcW w:w="2551" w:type="dxa"/>
            <w:tcBorders>
              <w:top w:val="sing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46A8B2B2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Uočava uvjetovanost uporabe zavičajnoga idioma ili hrvatskoga standardnog jezika komunikacijskom situacijom.</w:t>
            </w:r>
          </w:p>
        </w:tc>
        <w:tc>
          <w:tcPr>
            <w:tcW w:w="2835" w:type="dxa"/>
            <w:tcBorders>
              <w:top w:val="sing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50DC1F58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Prepoznaje, uočava i pojašnjava uvjetovanost uporabe zavičajnoga idioma ili hrvatskoga standardnog jezika komunikacijskom situacijom.</w:t>
            </w:r>
          </w:p>
        </w:tc>
      </w:tr>
      <w:tr w14:paraId="76BBC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0" w:type="dxa"/>
            <w:gridSpan w:val="6"/>
            <w:tcBorders>
              <w:top w:val="single" w:color="auto" w:sz="4" w:space="0"/>
              <w:bottom w:val="single" w:color="auto" w:sz="4" w:space="0"/>
              <w:right w:val="double" w:color="auto" w:sz="12" w:space="0"/>
            </w:tcBorders>
            <w:shd w:val="clear" w:color="auto" w:fill="FFFFFF" w:themeFill="background1"/>
          </w:tcPr>
          <w:p w14:paraId="365B2797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 u mjesnim knjižnicama i zavičajnim muzejima tekstove vezane uz jezični identitet i baštinu.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  <w:left w:val="doub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620A9E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0B7AF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0" w:type="dxa"/>
            <w:gridSpan w:val="6"/>
            <w:tcBorders>
              <w:top w:val="single" w:color="auto" w:sz="4" w:space="0"/>
              <w:bottom w:val="single" w:color="auto" w:sz="4" w:space="0"/>
              <w:right w:val="double" w:color="auto" w:sz="12" w:space="0"/>
            </w:tcBorders>
            <w:shd w:val="clear" w:color="auto" w:fill="FFFFFF" w:themeFill="background1"/>
          </w:tcPr>
          <w:p w14:paraId="1C6E0844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povijesne jezične dokumente i spomenike kao kulturnu baštinu mjesta/zavičaja.</w:t>
            </w:r>
          </w:p>
        </w:tc>
        <w:tc>
          <w:tcPr>
            <w:tcW w:w="7087" w:type="dxa"/>
            <w:gridSpan w:val="4"/>
            <w:tcBorders>
              <w:top w:val="single" w:color="auto" w:sz="4" w:space="0"/>
              <w:left w:val="double" w:color="auto" w:sz="12" w:space="0"/>
              <w:bottom w:val="single" w:color="auto" w:sz="4" w:space="0"/>
            </w:tcBorders>
            <w:shd w:val="clear" w:color="auto" w:fill="FFFFFF" w:themeFill="background1"/>
          </w:tcPr>
          <w:p w14:paraId="443FE129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31534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shd w:val="clear" w:color="auto" w:fill="C5E0B3" w:themeFill="accent6" w:themeFillTint="66"/>
          </w:tcPr>
          <w:p w14:paraId="068B83F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KNJIŽEVNOST I  STVARALAŠTVO</w:t>
            </w:r>
          </w:p>
        </w:tc>
      </w:tr>
      <w:tr w14:paraId="4161F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top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620A54BF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B.3.1. Učenik povezuje sadržaj i temu književnoga teksta s vlastitim iskustvom.</w:t>
            </w:r>
          </w:p>
        </w:tc>
      </w:tr>
      <w:tr w14:paraId="7CE5C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nil"/>
              <w:bottom w:val="single" w:color="auto" w:sz="6" w:space="0"/>
              <w:right w:val="double" w:color="auto" w:sz="12" w:space="0"/>
            </w:tcBorders>
            <w:shd w:val="clear" w:color="auto" w:fill="DEEAF6" w:themeFill="accent1" w:themeFillTint="33"/>
          </w:tcPr>
          <w:p w14:paraId="67170D6C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color="auto" w:sz="12" w:space="0"/>
              <w:left w:val="doub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7A6AD0D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6EDA6B18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4C4B715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054775D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21816AA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635A5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4" w:space="0"/>
              <w:right w:val="double" w:color="auto" w:sz="12" w:space="0"/>
            </w:tcBorders>
          </w:tcPr>
          <w:p w14:paraId="16B3721B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Iskazuje misli i osjećaje nakon čitanja književnoga teksta.</w:t>
            </w:r>
          </w:p>
        </w:tc>
        <w:tc>
          <w:tcPr>
            <w:tcW w:w="2708" w:type="dxa"/>
            <w:tcBorders>
              <w:top w:val="single" w:color="auto" w:sz="4" w:space="0"/>
              <w:left w:val="double" w:color="auto" w:sz="12" w:space="0"/>
            </w:tcBorders>
          </w:tcPr>
          <w:p w14:paraId="7D2D2216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iskazuje misli i osjećaje nakon čitanja književnoga teksta</w:t>
            </w:r>
            <w:r>
              <w:rPr>
                <w:rFonts w:cstheme="minorHAnsi"/>
                <w:sz w:val="24"/>
              </w:rPr>
              <w:t>“ po zadanim elementima.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</w:tcBorders>
          </w:tcPr>
          <w:p w14:paraId="4781B39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 prema primjerima suučenika iskazuje misli i osjećaje nakon čitanja književnoga teksta.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</w:tcBorders>
          </w:tcPr>
          <w:p w14:paraId="55D426D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kratkim rečenicama iskazuje misli i osjećaje nakon čitanja književnoga teksta.</w:t>
            </w:r>
          </w:p>
        </w:tc>
        <w:tc>
          <w:tcPr>
            <w:tcW w:w="2551" w:type="dxa"/>
            <w:tcBorders>
              <w:top w:val="single" w:color="auto" w:sz="4" w:space="0"/>
            </w:tcBorders>
          </w:tcPr>
          <w:p w14:paraId="46E2BE4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Iskazuje misli i osjećaje nakon čitanja književnoga teksta.</w:t>
            </w:r>
          </w:p>
        </w:tc>
        <w:tc>
          <w:tcPr>
            <w:tcW w:w="2835" w:type="dxa"/>
            <w:tcBorders>
              <w:top w:val="single" w:color="auto" w:sz="4" w:space="0"/>
            </w:tcBorders>
          </w:tcPr>
          <w:p w14:paraId="03AB72A8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</w:rPr>
              <w:t>Iskazuje misli i osjećaje nakon čitanja književnoga teksta koristeći se bogatim rječnikom i složenijim rečenicama.</w:t>
            </w:r>
          </w:p>
        </w:tc>
      </w:tr>
      <w:tr w14:paraId="1241B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1B2E004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temu književnoga teksta.</w:t>
            </w: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4ECDC497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temu književnoga teksta</w:t>
            </w:r>
            <w:r>
              <w:rPr>
                <w:rFonts w:cstheme="minorHAnsi"/>
                <w:sz w:val="24"/>
              </w:rPr>
              <w:t>“ po zadanim elementima.</w:t>
            </w:r>
          </w:p>
        </w:tc>
        <w:tc>
          <w:tcPr>
            <w:tcW w:w="2551" w:type="dxa"/>
            <w:gridSpan w:val="2"/>
          </w:tcPr>
          <w:p w14:paraId="46FBA70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i navođenje prepoznaje temu književnoga teksta.</w:t>
            </w:r>
          </w:p>
        </w:tc>
        <w:tc>
          <w:tcPr>
            <w:tcW w:w="2552" w:type="dxa"/>
            <w:gridSpan w:val="4"/>
          </w:tcPr>
          <w:p w14:paraId="3F4481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temu književnoga teksta.</w:t>
            </w:r>
          </w:p>
        </w:tc>
        <w:tc>
          <w:tcPr>
            <w:tcW w:w="2551" w:type="dxa"/>
          </w:tcPr>
          <w:p w14:paraId="4229EFC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uz manju pomoć određuje temu književnoga teksta.</w:t>
            </w:r>
          </w:p>
        </w:tc>
        <w:tc>
          <w:tcPr>
            <w:tcW w:w="2835" w:type="dxa"/>
          </w:tcPr>
          <w:p w14:paraId="5DE0C0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samostalno određuje temu književnoga teksta.</w:t>
            </w:r>
          </w:p>
        </w:tc>
      </w:tr>
      <w:tr w14:paraId="1F043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7EE4BF5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Povezuje temu književnoga teksta s vlastitim iskustvom.</w:t>
            </w: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288D27E0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temu književnoga teksta s vlastitim iskustvom</w:t>
            </w:r>
            <w:r>
              <w:rPr>
                <w:rFonts w:cstheme="minorHAnsi"/>
                <w:sz w:val="24"/>
              </w:rPr>
              <w:t>“ po zadanim elementima.</w:t>
            </w:r>
          </w:p>
        </w:tc>
        <w:tc>
          <w:tcPr>
            <w:tcW w:w="2551" w:type="dxa"/>
            <w:gridSpan w:val="2"/>
          </w:tcPr>
          <w:p w14:paraId="4A3F89E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ili jako slabo povezuje temu književnoga teksta s vlastitim iskustvom.</w:t>
            </w:r>
          </w:p>
        </w:tc>
        <w:tc>
          <w:tcPr>
            <w:tcW w:w="2552" w:type="dxa"/>
            <w:gridSpan w:val="4"/>
          </w:tcPr>
          <w:p w14:paraId="029B22D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primjere ili pojašnjena i dodatna pitanja povezuje temu književnoga teksta s vlastitim iskustvom.</w:t>
            </w:r>
          </w:p>
        </w:tc>
        <w:tc>
          <w:tcPr>
            <w:tcW w:w="2551" w:type="dxa"/>
          </w:tcPr>
          <w:p w14:paraId="149542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većoj mjeri povezuje temu književnoga teksta s vlastitim iskustvom.</w:t>
            </w:r>
          </w:p>
        </w:tc>
        <w:tc>
          <w:tcPr>
            <w:tcW w:w="2835" w:type="dxa"/>
          </w:tcPr>
          <w:p w14:paraId="3D37C1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povezuje temu književnoga teksta s vlastitim iskustvom.</w:t>
            </w:r>
          </w:p>
        </w:tc>
      </w:tr>
      <w:tr w14:paraId="5B878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7EDC058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sličnosti i razlike između sadržaja i teme književnoga teksta i vlastitoga životnog iskustva.</w:t>
            </w: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59CE46B8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sličnosti i razlike između sadržaja i teme književnoga teksta i vlastitoga životnog iskustva</w:t>
            </w:r>
            <w:r>
              <w:rPr>
                <w:rFonts w:cstheme="minorHAnsi"/>
                <w:sz w:val="24"/>
              </w:rPr>
              <w:t>“ po zadanim elementima.</w:t>
            </w:r>
          </w:p>
        </w:tc>
        <w:tc>
          <w:tcPr>
            <w:tcW w:w="2551" w:type="dxa"/>
            <w:gridSpan w:val="2"/>
          </w:tcPr>
          <w:p w14:paraId="597BDF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Jako rijetko navodi sličnosti i razlike između sadržaja i teme književnoga teksta i vlastitoga životnog iskustva.</w:t>
            </w:r>
          </w:p>
        </w:tc>
        <w:tc>
          <w:tcPr>
            <w:tcW w:w="2552" w:type="dxa"/>
            <w:gridSpan w:val="4"/>
          </w:tcPr>
          <w:p w14:paraId="0044B47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Povremeno, slijedeći primjer, navodi sličnosti i razlike između sadržaja i teme književnoga teksta i vlastitoga životnog iskustva.</w:t>
            </w:r>
          </w:p>
        </w:tc>
        <w:tc>
          <w:tcPr>
            <w:tcW w:w="2551" w:type="dxa"/>
          </w:tcPr>
          <w:p w14:paraId="66CB9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sličnosti i razlike između sadržaja i teme književnoga teksta i vlastitoga životnog iskustva.</w:t>
            </w:r>
          </w:p>
        </w:tc>
        <w:tc>
          <w:tcPr>
            <w:tcW w:w="2835" w:type="dxa"/>
          </w:tcPr>
          <w:p w14:paraId="2AF386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i dovodi u vezu sličnosti i razlike između sadržaja i teme književnoga teksta i vlastitoga životnog iskustva.</w:t>
            </w:r>
          </w:p>
        </w:tc>
      </w:tr>
      <w:tr w14:paraId="654D9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78E199D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misli i osjećaje nakon čitanja teksta sa zapažanjima ostalih učenika.</w:t>
            </w: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01D708DA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misli i osjećaje nakon čitanja teksta sa zapažanjima ostalih učenika</w:t>
            </w:r>
            <w:r>
              <w:rPr>
                <w:rFonts w:cstheme="minorHAnsi"/>
                <w:sz w:val="24"/>
              </w:rPr>
              <w:t>“ po zadanim elementima.</w:t>
            </w:r>
          </w:p>
        </w:tc>
        <w:tc>
          <w:tcPr>
            <w:tcW w:w="2551" w:type="dxa"/>
            <w:gridSpan w:val="2"/>
          </w:tcPr>
          <w:p w14:paraId="317B348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Iznosi osjećaje nakon čitanja teksta koristeći jednu ili dvije riječi, ai uz poticaj suučenika i/ili učitelja/ice, pozitivno reagira.</w:t>
            </w:r>
          </w:p>
        </w:tc>
        <w:tc>
          <w:tcPr>
            <w:tcW w:w="2552" w:type="dxa"/>
            <w:gridSpan w:val="4"/>
          </w:tcPr>
          <w:p w14:paraId="5E9B657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misli i osjećaje nakon čitanja teksta sa zapažanjima ostalih učenika uz jasne upute prije izvođenja zadatka.</w:t>
            </w:r>
          </w:p>
        </w:tc>
        <w:tc>
          <w:tcPr>
            <w:tcW w:w="2551" w:type="dxa"/>
          </w:tcPr>
          <w:p w14:paraId="0A9003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misli i osjećaje nakon čitanja teksta sa zapažanjima ostalih učenika uz manja pojašnjenja.</w:t>
            </w:r>
          </w:p>
        </w:tc>
        <w:tc>
          <w:tcPr>
            <w:tcW w:w="2835" w:type="dxa"/>
          </w:tcPr>
          <w:p w14:paraId="51DEA43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i bez pomoći uspoređuje misli i osjećaje nakon čitanja teksta sa zapažanjima ostalih učenika.</w:t>
            </w:r>
          </w:p>
        </w:tc>
      </w:tr>
      <w:tr w14:paraId="081C9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6D23A121">
            <w:pPr>
              <w:pStyle w:val="11"/>
              <w:spacing w:after="0" w:line="240" w:lineRule="auto"/>
              <w:ind w:left="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etičke vrijednosti teksta.</w:t>
            </w: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0AE94FF3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etičke vrijednosti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33ACD2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prepoznaje etičke vrijednosti teksta.</w:t>
            </w:r>
          </w:p>
        </w:tc>
        <w:tc>
          <w:tcPr>
            <w:tcW w:w="2552" w:type="dxa"/>
            <w:gridSpan w:val="4"/>
          </w:tcPr>
          <w:p w14:paraId="08164A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etičke vrijednosti teksta.</w:t>
            </w:r>
          </w:p>
        </w:tc>
        <w:tc>
          <w:tcPr>
            <w:tcW w:w="2551" w:type="dxa"/>
          </w:tcPr>
          <w:p w14:paraId="5A3BDEC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uspoređuje etičke vrijednosti teksta.</w:t>
            </w:r>
          </w:p>
        </w:tc>
        <w:tc>
          <w:tcPr>
            <w:tcW w:w="2835" w:type="dxa"/>
          </w:tcPr>
          <w:p w14:paraId="45DE9C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objašnjava etičke vrijednosti teksta.</w:t>
            </w:r>
          </w:p>
        </w:tc>
      </w:tr>
      <w:tr w14:paraId="6B873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top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4B6B396F">
            <w:pPr>
              <w:tabs>
                <w:tab w:val="left" w:pos="2504"/>
              </w:tabs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OŠ HJ B.3.2. Učenik čita književni tekst i uočava pojedinosti književnoga jezika. </w:t>
            </w:r>
          </w:p>
        </w:tc>
      </w:tr>
      <w:tr w14:paraId="16F0B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nil"/>
              <w:bottom w:val="single" w:color="auto" w:sz="6" w:space="0"/>
              <w:right w:val="double" w:color="auto" w:sz="12" w:space="0"/>
            </w:tcBorders>
            <w:shd w:val="clear" w:color="auto" w:fill="DEEAF6" w:themeFill="accent1" w:themeFillTint="33"/>
          </w:tcPr>
          <w:p w14:paraId="3E81126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color="auto" w:sz="12" w:space="0"/>
              <w:left w:val="doub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78AB70F3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6419065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2F14754C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3EE4A19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6418653D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1E4BB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4" w:space="0"/>
              <w:right w:val="double" w:color="auto" w:sz="12" w:space="0"/>
            </w:tcBorders>
          </w:tcPr>
          <w:p w14:paraId="2C732DC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temu književnoga teksta.</w:t>
            </w:r>
          </w:p>
          <w:p w14:paraId="59B02A8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color="auto" w:sz="4" w:space="0"/>
              <w:left w:val="double" w:color="auto" w:sz="12" w:space="0"/>
            </w:tcBorders>
          </w:tcPr>
          <w:p w14:paraId="7681D4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i izdvaja 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  <w:p w14:paraId="565C1A7D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</w:tcBorders>
          </w:tcPr>
          <w:p w14:paraId="5211797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Teže samostalno prepoznaje temu književnoga teksta, tek uz navođenje i pomoć.</w:t>
            </w:r>
          </w:p>
          <w:p w14:paraId="2671160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  <w:tcBorders>
              <w:top w:val="single" w:color="auto" w:sz="4" w:space="0"/>
            </w:tcBorders>
          </w:tcPr>
          <w:p w14:paraId="036D7F3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temu književnoga teksta, ali ju teže samostalno izdvaja.</w:t>
            </w:r>
          </w:p>
          <w:p w14:paraId="5B663A7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color="auto" w:sz="4" w:space="0"/>
            </w:tcBorders>
          </w:tcPr>
          <w:p w14:paraId="7BDCFA9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temu književnoga teksta uz manje nadopune ili preoblikovanja u gramatički pravilnu rečenicu.</w:t>
            </w:r>
          </w:p>
        </w:tc>
        <w:tc>
          <w:tcPr>
            <w:tcW w:w="2835" w:type="dxa"/>
            <w:tcBorders>
              <w:top w:val="single" w:color="auto" w:sz="4" w:space="0"/>
            </w:tcBorders>
          </w:tcPr>
          <w:p w14:paraId="4D2626C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Prepoznaje i izdvaja temu književnoga teksta ili stvara samostalni izraz za zadanu temu.</w:t>
            </w:r>
          </w:p>
          <w:p w14:paraId="678617CB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14:paraId="1F975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598707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redoslijed događaja.</w:t>
            </w:r>
          </w:p>
          <w:p w14:paraId="2C3F05D1">
            <w:pPr>
              <w:pStyle w:val="11"/>
              <w:spacing w:after="0" w:line="240" w:lineRule="auto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08CEE7B7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redoslijed događaja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4BAB5C3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djelomično prepoznaje redoslijed događaja.</w:t>
            </w:r>
          </w:p>
          <w:p w14:paraId="049C013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07FC95D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redoslijed događaja uz dodatna navođenja.</w:t>
            </w:r>
          </w:p>
          <w:p w14:paraId="6FE77B7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E79427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redoslijed događaja i izdvaja ga i nabraja.</w:t>
            </w:r>
          </w:p>
        </w:tc>
        <w:tc>
          <w:tcPr>
            <w:tcW w:w="2835" w:type="dxa"/>
          </w:tcPr>
          <w:p w14:paraId="2CF7201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izdvaja i nabraja redoslijed događaja te samostalno formira rečenice.</w:t>
            </w:r>
          </w:p>
        </w:tc>
      </w:tr>
      <w:tr w14:paraId="73A57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0BBC75E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Povezuje likove s mjestom i vremenom radnje.</w:t>
            </w:r>
          </w:p>
          <w:p w14:paraId="5802E64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0249B5E0">
            <w:pPr>
              <w:spacing w:after="0" w:line="240" w:lineRule="auto"/>
              <w:ind w:left="43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likove s mjestom i vremenom radnje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206FDAB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dodatna pitanja ili primjer povremeno povezuje likove s mjestom ili vremenom radnje.</w:t>
            </w:r>
          </w:p>
          <w:p w14:paraId="60D2F1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178F10A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 povezuje likove s mjestom i vremenom radnje.</w:t>
            </w:r>
          </w:p>
        </w:tc>
        <w:tc>
          <w:tcPr>
            <w:tcW w:w="2551" w:type="dxa"/>
          </w:tcPr>
          <w:p w14:paraId="27F6500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većoj mjeri samostalno i uspješno povezuje likove s mjestom i vremenom radnje</w:t>
            </w:r>
          </w:p>
          <w:p w14:paraId="667EE97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DCEDA9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bez pomoći povezuje likove s mjestom i vremenom radnje.</w:t>
            </w:r>
          </w:p>
        </w:tc>
      </w:tr>
      <w:tr w14:paraId="51070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2E4058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likove prema izgledu, ponašanju i govoru.</w:t>
            </w:r>
          </w:p>
          <w:p w14:paraId="7586174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40F800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likove prema izgledu, ponašanju i govoru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</w:t>
            </w:r>
          </w:p>
          <w:p w14:paraId="34377641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66317CC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opisuje likove prema izgledu i povremeno  ponašanju.</w:t>
            </w:r>
          </w:p>
          <w:p w14:paraId="4EC05A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138C0AC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likove prema izgledu i ponašanju, ali pokazuje potrebu za pomoći u tome ili traži ponavljanje uputa.</w:t>
            </w:r>
          </w:p>
          <w:p w14:paraId="445BE3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7E852D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likove prema izgledu, ponašanju i govoru.</w:t>
            </w:r>
          </w:p>
          <w:p w14:paraId="142E805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5627129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likove prema izgledu, ponašanju i govoru te ih dovodi u vezu s ostalim likovima i radi usporedbe.</w:t>
            </w:r>
          </w:p>
          <w:p w14:paraId="56FD5DD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6406C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14D3CB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ritam, rimu i usporedbu u poeziji za djecu.</w:t>
            </w:r>
          </w:p>
          <w:p w14:paraId="1C2288F9">
            <w:pPr>
              <w:pStyle w:val="11"/>
              <w:spacing w:after="0" w:line="240" w:lineRule="auto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05475D9C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ritam, rimu i usporedbu u poeziji za djecu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  <w:p w14:paraId="73ED6F9A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76DF5B2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ritam u poeziji za djecu.</w:t>
            </w:r>
          </w:p>
        </w:tc>
        <w:tc>
          <w:tcPr>
            <w:tcW w:w="2552" w:type="dxa"/>
            <w:gridSpan w:val="4"/>
          </w:tcPr>
          <w:p w14:paraId="71B903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ritam i rimu, ali ne i usporedbu u poeziji za djecu.</w:t>
            </w:r>
          </w:p>
        </w:tc>
        <w:tc>
          <w:tcPr>
            <w:tcW w:w="2551" w:type="dxa"/>
          </w:tcPr>
          <w:p w14:paraId="18E508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ritam i rimu  u poeziji za djecu, ali </w:t>
            </w:r>
          </w:p>
          <w:p w14:paraId="61BE49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Usporedbu je potrebno dodatno pojasniti ili prikazati primjer ili pobliže odrediti pitanjem (S čime pjesnik uspoređuje...?)</w:t>
            </w:r>
          </w:p>
        </w:tc>
        <w:tc>
          <w:tcPr>
            <w:tcW w:w="2835" w:type="dxa"/>
          </w:tcPr>
          <w:p w14:paraId="6F3D8D8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bez  dodatnog pojašnjenja uočava ritam, rimu i usporedbu u poeziji za djecu.</w:t>
            </w:r>
          </w:p>
          <w:p w14:paraId="5C0918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7F451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0F8C4CB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ponavljanja u stihu, strofi ili pjesmi.</w:t>
            </w: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14682442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ponavljanja u stihu, strofi ili pjesmi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7A43C3A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 ponavljanja u stihu, strofi ili pjesmi ukoliko se na to ukaže to jest ukoliko se grafički prikaže i ukaže na riječi koje se ponavljaju. </w:t>
            </w:r>
          </w:p>
        </w:tc>
        <w:tc>
          <w:tcPr>
            <w:tcW w:w="2552" w:type="dxa"/>
            <w:gridSpan w:val="4"/>
          </w:tcPr>
          <w:p w14:paraId="14B5C90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ponavljanja u stihu, strofi ili pjesmi ukoliko se na to ukaže.</w:t>
            </w:r>
          </w:p>
        </w:tc>
        <w:tc>
          <w:tcPr>
            <w:tcW w:w="2551" w:type="dxa"/>
          </w:tcPr>
          <w:p w14:paraId="1CEE69B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ponavljanja u stihu, strofi ili pjesmi.</w:t>
            </w:r>
          </w:p>
        </w:tc>
        <w:tc>
          <w:tcPr>
            <w:tcW w:w="2835" w:type="dxa"/>
          </w:tcPr>
          <w:p w14:paraId="015A46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ponavljanja u stihu, strofi ili pjesmi te objašnjava njihovu uporabu (naglašavanja određenom dijela pjesme).</w:t>
            </w:r>
          </w:p>
        </w:tc>
      </w:tr>
      <w:tr w14:paraId="4873F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19159A6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pjesničke slike.</w:t>
            </w: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6CD05B5E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pjesničke slike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104E271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uočljive pjesničke slike ukoliko  se na to ukaže.</w:t>
            </w:r>
          </w:p>
        </w:tc>
        <w:tc>
          <w:tcPr>
            <w:tcW w:w="2552" w:type="dxa"/>
            <w:gridSpan w:val="4"/>
          </w:tcPr>
          <w:p w14:paraId="213DDC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pjesničke slike, ali ih samostalno ne razlikuje po vrsti, tek uz primjer i pojašnjenja.</w:t>
            </w:r>
          </w:p>
        </w:tc>
        <w:tc>
          <w:tcPr>
            <w:tcW w:w="2551" w:type="dxa"/>
          </w:tcPr>
          <w:p w14:paraId="5D4295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pjesničke slike.</w:t>
            </w:r>
          </w:p>
        </w:tc>
        <w:tc>
          <w:tcPr>
            <w:tcW w:w="2835" w:type="dxa"/>
          </w:tcPr>
          <w:p w14:paraId="5E784EC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razlikuje  pjesničke slike te ih razvrstava.</w:t>
            </w:r>
          </w:p>
        </w:tc>
      </w:tr>
      <w:tr w14:paraId="5F52F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24C052E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emocionalnost i slikovitost teksta.</w:t>
            </w: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01399767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emocionalnost i slikovitost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19720D5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Teže uočava slikovitost teksta.</w:t>
            </w:r>
          </w:p>
        </w:tc>
        <w:tc>
          <w:tcPr>
            <w:tcW w:w="2552" w:type="dxa"/>
            <w:gridSpan w:val="4"/>
          </w:tcPr>
          <w:p w14:paraId="4776313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uočava slikovitost teksta.</w:t>
            </w:r>
          </w:p>
        </w:tc>
        <w:tc>
          <w:tcPr>
            <w:tcW w:w="2551" w:type="dxa"/>
          </w:tcPr>
          <w:p w14:paraId="1C4B37A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slikovitost teksta.</w:t>
            </w:r>
          </w:p>
        </w:tc>
        <w:tc>
          <w:tcPr>
            <w:tcW w:w="2835" w:type="dxa"/>
          </w:tcPr>
          <w:p w14:paraId="0CA2DF0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emocionalnost i slikovitost teksta.</w:t>
            </w:r>
          </w:p>
        </w:tc>
      </w:tr>
      <w:tr w14:paraId="57855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bottom w:val="single" w:color="auto" w:sz="12" w:space="0"/>
              <w:right w:val="double" w:color="auto" w:sz="12" w:space="0"/>
            </w:tcBorders>
          </w:tcPr>
          <w:p w14:paraId="0CAD50CF">
            <w:pPr>
              <w:pStyle w:val="11"/>
              <w:spacing w:after="0" w:line="240" w:lineRule="auto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posebnost poetskog izraza: slikovitost, zvučnost i ritmičnost.</w:t>
            </w:r>
          </w:p>
        </w:tc>
        <w:tc>
          <w:tcPr>
            <w:tcW w:w="2708" w:type="dxa"/>
            <w:tcBorders>
              <w:left w:val="double" w:color="auto" w:sz="12" w:space="0"/>
              <w:bottom w:val="single" w:color="auto" w:sz="12" w:space="0"/>
            </w:tcBorders>
          </w:tcPr>
          <w:p w14:paraId="7001CEAB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posebnost poetskog izraza: slikovitost, zvučnost i ritmičnost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single" w:color="auto" w:sz="12" w:space="0"/>
            </w:tcBorders>
          </w:tcPr>
          <w:p w14:paraId="10625C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prepoznaje ritmičnost poetskog izraza.</w:t>
            </w:r>
          </w:p>
        </w:tc>
        <w:tc>
          <w:tcPr>
            <w:tcW w:w="2552" w:type="dxa"/>
            <w:gridSpan w:val="4"/>
            <w:tcBorders>
              <w:bottom w:val="single" w:color="auto" w:sz="12" w:space="0"/>
            </w:tcBorders>
          </w:tcPr>
          <w:p w14:paraId="2876ED1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ritmičnost poetskog izraza.</w:t>
            </w:r>
          </w:p>
        </w:tc>
        <w:tc>
          <w:tcPr>
            <w:tcW w:w="2551" w:type="dxa"/>
            <w:tcBorders>
              <w:bottom w:val="single" w:color="auto" w:sz="12" w:space="0"/>
            </w:tcBorders>
          </w:tcPr>
          <w:p w14:paraId="75731EF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posebnost poetskog izraza: slikovitost, zvučnost i ritmičnost na zadanom primjeru i uz potpitanja.</w:t>
            </w:r>
          </w:p>
        </w:tc>
        <w:tc>
          <w:tcPr>
            <w:tcW w:w="2835" w:type="dxa"/>
            <w:tcBorders>
              <w:bottom w:val="single" w:color="auto" w:sz="12" w:space="0"/>
            </w:tcBorders>
          </w:tcPr>
          <w:p w14:paraId="5C76E0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posebnost poetskog izraza: slikovitost, zvučnost i ritmičnost.</w:t>
            </w:r>
          </w:p>
        </w:tc>
      </w:tr>
      <w:tr w14:paraId="167C0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top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30ADCC1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OŠ HJ B.3.3 Učenik čita prema vlastitome interesu te razlikuje vrste knjiga za djecu.</w:t>
            </w:r>
          </w:p>
        </w:tc>
      </w:tr>
      <w:tr w14:paraId="026AC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nil"/>
              <w:bottom w:val="single" w:color="auto" w:sz="6" w:space="0"/>
              <w:right w:val="double" w:color="auto" w:sz="12" w:space="0"/>
            </w:tcBorders>
            <w:shd w:val="clear" w:color="auto" w:fill="DEEAF6" w:themeFill="accent1" w:themeFillTint="33"/>
          </w:tcPr>
          <w:p w14:paraId="2E1E919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color="auto" w:sz="12" w:space="0"/>
              <w:left w:val="doub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65C3206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09BEAFC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736A9DD7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5C36298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24E50E8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01DAF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4" w:space="0"/>
              <w:right w:val="double" w:color="auto" w:sz="12" w:space="0"/>
            </w:tcBorders>
          </w:tcPr>
          <w:p w14:paraId="556CBDA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slikovnicu, zbirku pjesama, zbirku priča, dječji roman, basnu, igrokaz.</w:t>
            </w:r>
          </w:p>
          <w:p w14:paraId="47B459A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color="auto" w:sz="4" w:space="0"/>
              <w:left w:val="double" w:color="auto" w:sz="12" w:space="0"/>
            </w:tcBorders>
          </w:tcPr>
          <w:p w14:paraId="28C21326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slikovnicu, zbirku pjesama, zbirku priča, dječji roman, basnu, igrokaz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  <w:p w14:paraId="6CDF5B8A">
            <w:pPr>
              <w:spacing w:after="0" w:line="240" w:lineRule="auto"/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</w:tcBorders>
          </w:tcPr>
          <w:p w14:paraId="4FC7A61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slikovnicu i zbirku pjesama. Zbirku priča, dječji roman, basnu i igrokaz prepoznaje uz dodatna pojašnjenja i upute.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</w:tcBorders>
          </w:tcPr>
          <w:p w14:paraId="4AE1EB6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slikovnicu od zbirke pjesama, ali teže razlikuje zbirku priča, dječji roman, basnu i igrokaz.</w:t>
            </w:r>
          </w:p>
          <w:p w14:paraId="393C461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color="auto" w:sz="4" w:space="0"/>
            </w:tcBorders>
          </w:tcPr>
          <w:p w14:paraId="5810C21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slikovnicu, zbirku pjesama, zbirku priča, dječji roman, basnu, igrokaz.</w:t>
            </w:r>
          </w:p>
          <w:p w14:paraId="585959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color="auto" w:sz="4" w:space="0"/>
            </w:tcBorders>
          </w:tcPr>
          <w:p w14:paraId="15F3710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Razlikuje i razvrstava slikovnicu, zbirku pjesama, zbirku priča, dječji roman, basnu, igrokaz.</w:t>
            </w:r>
          </w:p>
          <w:p w14:paraId="76BE694F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14:paraId="30328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790" w:type="dxa"/>
            <w:gridSpan w:val="6"/>
            <w:tcBorders>
              <w:right w:val="double" w:color="auto" w:sz="12" w:space="0"/>
            </w:tcBorders>
          </w:tcPr>
          <w:p w14:paraId="6323B8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Razvija čitateljske navike kontinuiranim čitanjem i motivacijom za čitanjem različitih žanrova.</w:t>
            </w:r>
          </w:p>
        </w:tc>
        <w:tc>
          <w:tcPr>
            <w:tcW w:w="7087" w:type="dxa"/>
            <w:gridSpan w:val="4"/>
            <w:tcBorders>
              <w:left w:val="double" w:color="auto" w:sz="12" w:space="0"/>
            </w:tcBorders>
          </w:tcPr>
          <w:p w14:paraId="6C66843C">
            <w:pPr>
              <w:spacing w:after="0" w:line="240" w:lineRule="auto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0AA2B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0" w:type="dxa"/>
            <w:gridSpan w:val="6"/>
            <w:tcBorders>
              <w:right w:val="double" w:color="auto" w:sz="12" w:space="0"/>
            </w:tcBorders>
          </w:tcPr>
          <w:p w14:paraId="1D5D1EE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Izrađuje popis pročitanih knjiga.</w:t>
            </w:r>
          </w:p>
        </w:tc>
        <w:tc>
          <w:tcPr>
            <w:tcW w:w="7087" w:type="dxa"/>
            <w:gridSpan w:val="4"/>
            <w:tcBorders>
              <w:left w:val="double" w:color="auto" w:sz="12" w:space="0"/>
            </w:tcBorders>
          </w:tcPr>
          <w:p w14:paraId="1876788E">
            <w:pPr>
              <w:spacing w:after="0" w:line="240" w:lineRule="auto"/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0733E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0" w:type="dxa"/>
            <w:gridSpan w:val="6"/>
            <w:tcBorders>
              <w:right w:val="double" w:color="auto" w:sz="12" w:space="0"/>
            </w:tcBorders>
          </w:tcPr>
          <w:p w14:paraId="385A708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vlastitoga izbora knjiga za čitanje.</w:t>
            </w:r>
          </w:p>
        </w:tc>
        <w:tc>
          <w:tcPr>
            <w:tcW w:w="7087" w:type="dxa"/>
            <w:gridSpan w:val="4"/>
            <w:tcBorders>
              <w:left w:val="double" w:color="auto" w:sz="12" w:space="0"/>
            </w:tcBorders>
          </w:tcPr>
          <w:p w14:paraId="009C83E1">
            <w:pPr>
              <w:spacing w:after="0" w:line="240" w:lineRule="auto"/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6CB52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0" w:type="dxa"/>
            <w:gridSpan w:val="6"/>
            <w:tcBorders>
              <w:right w:val="double" w:color="auto" w:sz="12" w:space="0"/>
            </w:tcBorders>
          </w:tcPr>
          <w:p w14:paraId="40DBCD2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Preporučuje ostalim učenicima knjige koje je pročitao i koje su mu bile zanimljive.</w:t>
            </w:r>
          </w:p>
        </w:tc>
        <w:tc>
          <w:tcPr>
            <w:tcW w:w="7087" w:type="dxa"/>
            <w:gridSpan w:val="4"/>
            <w:tcBorders>
              <w:left w:val="double" w:color="auto" w:sz="12" w:space="0"/>
            </w:tcBorders>
          </w:tcPr>
          <w:p w14:paraId="4B595769">
            <w:pPr>
              <w:spacing w:after="0" w:line="240" w:lineRule="auto"/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448C9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0" w:type="dxa"/>
            <w:gridSpan w:val="6"/>
            <w:tcBorders>
              <w:right w:val="double" w:color="auto" w:sz="12" w:space="0"/>
            </w:tcBorders>
          </w:tcPr>
          <w:p w14:paraId="7DB5274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Sudjeluje u radionicama za poticanje čitanja u školskoj knjižnici.</w:t>
            </w:r>
          </w:p>
        </w:tc>
        <w:tc>
          <w:tcPr>
            <w:tcW w:w="7087" w:type="dxa"/>
            <w:gridSpan w:val="4"/>
            <w:tcBorders>
              <w:left w:val="double" w:color="auto" w:sz="12" w:space="0"/>
            </w:tcBorders>
          </w:tcPr>
          <w:p w14:paraId="29AFC3CD">
            <w:pPr>
              <w:spacing w:after="0" w:line="240" w:lineRule="auto"/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20329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top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6061752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OŠ HJ B.3.4. Učenik se stvaralački izražava prema vlastitome interesu </w:t>
            </w:r>
          </w:p>
          <w:p w14:paraId="15D825E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potaknut različitim iskustvima i doživljajima književnoga teksta.</w:t>
            </w:r>
          </w:p>
        </w:tc>
      </w:tr>
      <w:tr w14:paraId="5683D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nil"/>
              <w:bottom w:val="single" w:color="auto" w:sz="6" w:space="0"/>
              <w:right w:val="double" w:color="auto" w:sz="12" w:space="0"/>
            </w:tcBorders>
            <w:shd w:val="clear" w:color="auto" w:fill="DEEAF6" w:themeFill="accent1" w:themeFillTint="33"/>
          </w:tcPr>
          <w:p w14:paraId="5098B09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color="auto" w:sz="12" w:space="0"/>
              <w:left w:val="doub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0CBAF72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7BA887C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0B6CE93C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6C3C487C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5FB5A4E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2B3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4" w:space="0"/>
              <w:right w:val="double" w:color="auto" w:sz="12" w:space="0"/>
            </w:tcBorders>
          </w:tcPr>
          <w:p w14:paraId="1B9FB5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mišljenje.</w:t>
            </w:r>
          </w:p>
          <w:p w14:paraId="58FEEFBB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color="auto" w:sz="4" w:space="0"/>
              <w:left w:val="double" w:color="auto" w:sz="12" w:space="0"/>
            </w:tcBorders>
          </w:tcPr>
          <w:p w14:paraId="473FC56E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</w:tcBorders>
          </w:tcPr>
          <w:p w14:paraId="7485E76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i uz pomoć se koristi aktivnim rječnikom i temeljnim znanjima (koji su prilično siromašni) radi oblikovanja uradaka.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</w:tcBorders>
          </w:tcPr>
          <w:p w14:paraId="7187521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se koristi aktivnim rječnikom i temeljnim znanjima radi oblikovanja uradaka u kojima dolazi do izražaja kreativnost.</w:t>
            </w:r>
          </w:p>
          <w:p w14:paraId="500B171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color="auto" w:sz="4" w:space="0"/>
            </w:tcBorders>
          </w:tcPr>
          <w:p w14:paraId="6F657DE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 i originalnost.</w:t>
            </w:r>
          </w:p>
          <w:p w14:paraId="54826C1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color="auto" w:sz="4" w:space="0"/>
            </w:tcBorders>
          </w:tcPr>
          <w:p w14:paraId="239BA67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Uspješno se i samostalno koristi jezičnim vještinama, aktivnim rječnikom i temeljnim znanjima radi oblikovanja uradaka u kojima dolazi do izražaja kreativnost, originalnost i stvaralačko mišljenje.</w:t>
            </w:r>
          </w:p>
          <w:p w14:paraId="2A7A26F8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14:paraId="69208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48F1E47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Istražuje, eksperimentira i slobodno radi na temi koja mu je bliska.</w:t>
            </w:r>
          </w:p>
          <w:p w14:paraId="02D5D23E">
            <w:pPr>
              <w:pStyle w:val="11"/>
              <w:spacing w:after="0" w:line="240" w:lineRule="auto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5FEF4C6B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254DE8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Rijetko istražuje i  eksperimentira na temi koja mu je bliska.</w:t>
            </w:r>
          </w:p>
          <w:p w14:paraId="7A53920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731693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uz poticaj istražuje i  eksperimentira na temi koja mu je bliska.</w:t>
            </w:r>
          </w:p>
        </w:tc>
        <w:tc>
          <w:tcPr>
            <w:tcW w:w="2551" w:type="dxa"/>
          </w:tcPr>
          <w:p w14:paraId="1010DB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Istražuje, eksperimentira i slobodno radi na temi koja mu je bliska uz unaprijed osigurane materijale i vođenje kroz istraživanje.</w:t>
            </w:r>
          </w:p>
          <w:p w14:paraId="442297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71C2A63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Istražuje, eksperimentira i slobodno radi na temi koja mu je bliska. </w:t>
            </w:r>
          </w:p>
          <w:p w14:paraId="7E2B95D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501D6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right w:val="double" w:color="auto" w:sz="12" w:space="0"/>
            </w:tcBorders>
          </w:tcPr>
          <w:p w14:paraId="1EEE59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Stvara različite individualne uratke: stvara na dijalektu/mjesnom govoru, piše i crta slikovnicu, glumi u igrokazu, stvara novinsku stranicu, piše pismo podrške, crta naslovnicu knjige, crta plakat, crta strip.</w:t>
            </w:r>
          </w:p>
          <w:p w14:paraId="38FB137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color="auto" w:sz="12" w:space="0"/>
            </w:tcBorders>
          </w:tcPr>
          <w:p w14:paraId="13265FF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stvara različite individualne uratke: stvara na dijalektu/mjesnom govoru, piše i crta slikovnicu, glumi u igrokazu, stvara novinsku stranicu, piše pismo podrške, crta naslovnicu knjige, crta plakat, crta strip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423C9F9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i predložak piše i crta slikovnicu, glumi u igrokazu i crta strip.</w:t>
            </w:r>
          </w:p>
        </w:tc>
        <w:tc>
          <w:tcPr>
            <w:tcW w:w="2552" w:type="dxa"/>
            <w:gridSpan w:val="4"/>
          </w:tcPr>
          <w:p w14:paraId="64C9E60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predlošku stvara neke od individualnih uradaka:, piše i crta slikovnicu, glumi u igrokazu, piše pismo podrške, crta naslovnicu knjige, crta plakat, crta strip.</w:t>
            </w:r>
          </w:p>
          <w:p w14:paraId="2AC305F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08995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Stvara neke od individualnih uradaka:, piše i crta slikovnicu, glumi u igrokazu, piše pismo podrške, crta naslovnicu knjige, crta plakat, crta strip.</w:t>
            </w:r>
          </w:p>
          <w:p w14:paraId="16C8078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92C868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Stvara različite individualne uratke: stvara na dijalektu/mjesnom govoru, piše i crta slikovnicu, glumi u igrokazu, stvara novinsku stranicu, piše pismo podrške, crta naslovnicu knjige, crta plakat, crta strip.</w:t>
            </w:r>
          </w:p>
          <w:p w14:paraId="12D6A8F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2CBCE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3" w:type="dxa"/>
            <w:gridSpan w:val="7"/>
            <w:tcBorders>
              <w:right w:val="double" w:color="auto" w:sz="12" w:space="0"/>
            </w:tcBorders>
          </w:tcPr>
          <w:p w14:paraId="135A607D">
            <w:pPr>
              <w:pStyle w:val="11"/>
              <w:spacing w:after="0" w:line="240" w:lineRule="auto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Razvija vlastiti potencijal za stvaralaštvo.</w:t>
            </w:r>
          </w:p>
        </w:tc>
        <w:tc>
          <w:tcPr>
            <w:tcW w:w="6804" w:type="dxa"/>
            <w:gridSpan w:val="3"/>
            <w:tcBorders>
              <w:left w:val="double" w:color="auto" w:sz="12" w:space="0"/>
            </w:tcBorders>
          </w:tcPr>
          <w:p w14:paraId="0D345868">
            <w:pPr>
              <w:spacing w:after="0" w:line="240" w:lineRule="auto"/>
              <w:ind w:left="43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606F5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shd w:val="clear" w:color="auto" w:fill="C5E0B3" w:themeFill="accent6" w:themeFillTint="66"/>
          </w:tcPr>
          <w:p w14:paraId="67E8937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KULTURA I MEDIJI</w:t>
            </w:r>
          </w:p>
        </w:tc>
      </w:tr>
      <w:tr w14:paraId="43348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29778EA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OŠ HJ C.3.1. Učenik pronalazi podatke koristeći se različitim </w:t>
            </w:r>
          </w:p>
          <w:p w14:paraId="6AA7D2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izvorima primjerenima dobi učenika.</w:t>
            </w:r>
          </w:p>
        </w:tc>
      </w:tr>
      <w:tr w14:paraId="4B038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nil"/>
              <w:bottom w:val="single" w:color="auto" w:sz="6" w:space="0"/>
              <w:right w:val="double" w:color="auto" w:sz="12" w:space="0"/>
            </w:tcBorders>
            <w:shd w:val="clear" w:color="auto" w:fill="DEEAF6" w:themeFill="accent1" w:themeFillTint="33"/>
          </w:tcPr>
          <w:p w14:paraId="511E0ED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color="auto" w:sz="12" w:space="0"/>
              <w:left w:val="doub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092BBF46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6E55954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644BBAA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4843681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5CFC02C8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41792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6214F71A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različite izvore informacija: digitalni udžbenici, tekstovi u zabavno-obrazovnim časopisima i knjigama za djecu te na obrazovnim mrežnim stranicama.</w:t>
            </w:r>
          </w:p>
        </w:tc>
        <w:tc>
          <w:tcPr>
            <w:tcW w:w="2708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59587CAE">
            <w:pPr>
              <w:spacing w:after="0" w:line="240" w:lineRule="auto"/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različite izvore informacija: digitalni udžbenici, tekstovi u zabavno-obrazovnim časopisima i knjigama za djecu te na obrazovnim mrežnim stranicama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top w:val="single" w:color="auto" w:sz="6" w:space="0"/>
              <w:bottom w:val="single" w:color="auto" w:sz="6" w:space="0"/>
            </w:tcBorders>
          </w:tcPr>
          <w:p w14:paraId="32B410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Teže samostalno prepoznaje različite izvore informacija: digitalni udžbenici, tekstovi u zabavno-obrazovnim časopisima i knjigama za djecu, ali uz više ponavljanja ih pravilno razvrstava.</w:t>
            </w:r>
          </w:p>
        </w:tc>
        <w:tc>
          <w:tcPr>
            <w:tcW w:w="2552" w:type="dxa"/>
            <w:gridSpan w:val="4"/>
            <w:tcBorders>
              <w:top w:val="single" w:color="auto" w:sz="6" w:space="0"/>
              <w:bottom w:val="single" w:color="auto" w:sz="6" w:space="0"/>
            </w:tcBorders>
          </w:tcPr>
          <w:p w14:paraId="40D8B1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različite izvore informacija: digitalni udžbenici, tekstovi u zabavno-obrazovnim časopisima i knjigama za djecu.</w:t>
            </w:r>
          </w:p>
        </w:tc>
        <w:tc>
          <w:tcPr>
            <w:tcW w:w="2551" w:type="dxa"/>
            <w:tcBorders>
              <w:top w:val="single" w:color="auto" w:sz="6" w:space="0"/>
              <w:bottom w:val="single" w:color="auto" w:sz="6" w:space="0"/>
            </w:tcBorders>
          </w:tcPr>
          <w:p w14:paraId="5425AD8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različite izvore informacija: digitalni udžbenici, tekstovi u zabavno-obrazovnim časopisima i knjigama za djecu te na obrazovnim mrežnim stranicama.</w:t>
            </w:r>
          </w:p>
        </w:tc>
        <w:tc>
          <w:tcPr>
            <w:tcW w:w="2835" w:type="dxa"/>
            <w:tcBorders>
              <w:top w:val="single" w:color="auto" w:sz="6" w:space="0"/>
              <w:bottom w:val="single" w:color="auto" w:sz="6" w:space="0"/>
            </w:tcBorders>
          </w:tcPr>
          <w:p w14:paraId="447E6F1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koristi različite izvore informacija: digitalni udžbenici, tekstovi u zabavno-obrazovnim časopisima i knjigama za djecu te na obrazovnim mrežnim stranicama.</w:t>
            </w:r>
          </w:p>
        </w:tc>
      </w:tr>
      <w:tr w14:paraId="26283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5F574E51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Pronalazi i kombinira podatke iz različitih izvora primjerenih dobi.</w:t>
            </w:r>
          </w:p>
        </w:tc>
        <w:tc>
          <w:tcPr>
            <w:tcW w:w="2708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336459EF">
            <w:pPr>
              <w:spacing w:after="0" w:line="240" w:lineRule="auto"/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pronalazi i kombinira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top w:val="single" w:color="auto" w:sz="6" w:space="0"/>
              <w:bottom w:val="single" w:color="auto" w:sz="6" w:space="0"/>
            </w:tcBorders>
          </w:tcPr>
          <w:p w14:paraId="2BDAFDD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Rijetko pronalazi i kombinira podatke iz različitih izvora primjerenih dobi.</w:t>
            </w:r>
          </w:p>
        </w:tc>
        <w:tc>
          <w:tcPr>
            <w:tcW w:w="2552" w:type="dxa"/>
            <w:gridSpan w:val="4"/>
            <w:tcBorders>
              <w:top w:val="single" w:color="auto" w:sz="6" w:space="0"/>
              <w:bottom w:val="single" w:color="auto" w:sz="6" w:space="0"/>
            </w:tcBorders>
          </w:tcPr>
          <w:p w14:paraId="0B49F18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Pronalazi  podatke iz različitih izvora primjerenih dobi.</w:t>
            </w:r>
          </w:p>
        </w:tc>
        <w:tc>
          <w:tcPr>
            <w:tcW w:w="2551" w:type="dxa"/>
            <w:tcBorders>
              <w:top w:val="single" w:color="auto" w:sz="6" w:space="0"/>
              <w:bottom w:val="single" w:color="auto" w:sz="6" w:space="0"/>
            </w:tcBorders>
          </w:tcPr>
          <w:p w14:paraId="2EC3DDF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Pronalazi i kombinira podatke iz različitih izvora primjerenih dobi.</w:t>
            </w:r>
          </w:p>
        </w:tc>
        <w:tc>
          <w:tcPr>
            <w:tcW w:w="2835" w:type="dxa"/>
            <w:tcBorders>
              <w:top w:val="single" w:color="auto" w:sz="6" w:space="0"/>
              <w:bottom w:val="single" w:color="auto" w:sz="6" w:space="0"/>
            </w:tcBorders>
          </w:tcPr>
          <w:p w14:paraId="2B2785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Pronalazi i kombinira podatke iz različitih izvora primjerenih dobi te daje primjere uporabe.</w:t>
            </w:r>
          </w:p>
        </w:tc>
      </w:tr>
      <w:tr w14:paraId="3932D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bottom w:val="single" w:color="auto" w:sz="4" w:space="0"/>
              <w:right w:val="double" w:color="auto" w:sz="12" w:space="0"/>
            </w:tcBorders>
            <w:shd w:val="clear" w:color="auto" w:fill="FFFFFF" w:themeFill="background1"/>
          </w:tcPr>
          <w:p w14:paraId="70D137A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Izdvaja važne podatke iz teksta i razvrstava ih prema uputi, te prenosi tekst u druge oblike ili medije.</w:t>
            </w:r>
          </w:p>
        </w:tc>
        <w:tc>
          <w:tcPr>
            <w:tcW w:w="2708" w:type="dxa"/>
            <w:tcBorders>
              <w:left w:val="double" w:color="auto" w:sz="12" w:space="0"/>
              <w:bottom w:val="single" w:color="auto" w:sz="4" w:space="0"/>
            </w:tcBorders>
          </w:tcPr>
          <w:p w14:paraId="25501C2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pronalazi i kombinira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single" w:color="auto" w:sz="4" w:space="0"/>
            </w:tcBorders>
          </w:tcPr>
          <w:p w14:paraId="0D54664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zadanom primjeru izdvaja važne podatke iz teksta i razvrstava ih prema uputi.</w:t>
            </w:r>
          </w:p>
        </w:tc>
        <w:tc>
          <w:tcPr>
            <w:tcW w:w="2552" w:type="dxa"/>
            <w:gridSpan w:val="4"/>
            <w:tcBorders>
              <w:bottom w:val="single" w:color="auto" w:sz="4" w:space="0"/>
            </w:tcBorders>
          </w:tcPr>
          <w:p w14:paraId="79E4530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Izdvaja važne podatke iz teksta i razvrstava ih prema uputi.</w:t>
            </w:r>
          </w:p>
        </w:tc>
        <w:tc>
          <w:tcPr>
            <w:tcW w:w="2551" w:type="dxa"/>
            <w:tcBorders>
              <w:bottom w:val="single" w:color="auto" w:sz="4" w:space="0"/>
            </w:tcBorders>
          </w:tcPr>
          <w:p w14:paraId="475359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dodatna pojašnjenja izdvaja važne podatke iz teksta i razvrstava ih prema uputi, te prenosi tekst u druge oblike ili medije. </w:t>
            </w:r>
          </w:p>
        </w:tc>
        <w:tc>
          <w:tcPr>
            <w:tcW w:w="2835" w:type="dxa"/>
            <w:tcBorders>
              <w:bottom w:val="single" w:color="auto" w:sz="4" w:space="0"/>
            </w:tcBorders>
          </w:tcPr>
          <w:p w14:paraId="63907D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Izdvaja važne podatke iz teksta i razvrstava ih prema uputi, te prenosi tekst u druge oblike ili medije.</w:t>
            </w:r>
          </w:p>
        </w:tc>
      </w:tr>
      <w:tr w14:paraId="144D2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top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DEEAF6" w:themeFill="accent1" w:themeFillTint="33"/>
          </w:tcPr>
          <w:p w14:paraId="6F43BA4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OŠ HJ C.3.2. Učenik razlikuje tiskane publikacije primjerene dobi i interesima.</w:t>
            </w:r>
          </w:p>
        </w:tc>
      </w:tr>
      <w:tr w14:paraId="1B857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nil"/>
              <w:bottom w:val="single" w:color="auto" w:sz="6" w:space="0"/>
              <w:right w:val="double" w:color="auto" w:sz="12" w:space="0"/>
            </w:tcBorders>
            <w:shd w:val="clear" w:color="auto" w:fill="DEEAF6" w:themeFill="accent1" w:themeFillTint="33"/>
          </w:tcPr>
          <w:p w14:paraId="70306DD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color="auto" w:sz="12" w:space="0"/>
              <w:left w:val="doub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0CF1E5A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37044C4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3AEE148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5A95903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36CAC21C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7BB72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6A84890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knjige, udžbenike, časopise, plakate, strip, brošure, reklamne letke.</w:t>
            </w:r>
          </w:p>
          <w:p w14:paraId="7988D70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11AE4EC9">
            <w:pPr>
              <w:spacing w:after="0" w:line="240" w:lineRule="auto"/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knjige, udžbenike, časopise, plakate, strip, brošure, reklamne letke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top w:val="single" w:color="auto" w:sz="6" w:space="0"/>
              <w:bottom w:val="single" w:color="auto" w:sz="6" w:space="0"/>
            </w:tcBorders>
          </w:tcPr>
          <w:p w14:paraId="671138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knjige, udžbenike, časopise i plakate.</w:t>
            </w:r>
          </w:p>
        </w:tc>
        <w:tc>
          <w:tcPr>
            <w:tcW w:w="2552" w:type="dxa"/>
            <w:gridSpan w:val="4"/>
            <w:tcBorders>
              <w:top w:val="single" w:color="auto" w:sz="6" w:space="0"/>
              <w:bottom w:val="single" w:color="auto" w:sz="6" w:space="0"/>
            </w:tcBorders>
          </w:tcPr>
          <w:p w14:paraId="180C83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povremeno razlikuje knjige, udžbenike, časopise, plakate, strip, i reklamne letke.</w:t>
            </w:r>
          </w:p>
          <w:p w14:paraId="1AB845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color="auto" w:sz="6" w:space="0"/>
              <w:bottom w:val="single" w:color="auto" w:sz="6" w:space="0"/>
            </w:tcBorders>
          </w:tcPr>
          <w:p w14:paraId="330DF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knjige, udžbenike, časopise, plakate, strip, brošure, reklamne letke.</w:t>
            </w:r>
          </w:p>
          <w:p w14:paraId="2A5D73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color="auto" w:sz="6" w:space="0"/>
              <w:bottom w:val="single" w:color="auto" w:sz="6" w:space="0"/>
            </w:tcBorders>
          </w:tcPr>
          <w:p w14:paraId="38F3EE4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i razvrstava knjige, udžbenike, časopise, plakate, strip, brošure, reklamne letke</w:t>
            </w:r>
          </w:p>
          <w:p w14:paraId="5E36E9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14:paraId="29A4B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1" w:type="dxa"/>
            <w:gridSpan w:val="5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309E9C7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</w:rPr>
              <w:t>RAZRADA ISHODA:</w:t>
            </w:r>
          </w:p>
          <w:p w14:paraId="44E44E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redovito čita tekstove u književnim i zabavno-obrazovnim časopisima za djecu i iskazuje mišljenje o njima.</w:t>
            </w:r>
          </w:p>
        </w:tc>
        <w:tc>
          <w:tcPr>
            <w:tcW w:w="7796" w:type="dxa"/>
            <w:gridSpan w:val="5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059757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475E2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1" w:type="dxa"/>
            <w:gridSpan w:val="5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680D036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</w:rPr>
              <w:t>RAZRADA ISHODA:</w:t>
            </w:r>
          </w:p>
          <w:p w14:paraId="2E9B553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Čita stripove i razlikuje ih od ostalih tiskanih medijskih tekstova.</w:t>
            </w:r>
          </w:p>
        </w:tc>
        <w:tc>
          <w:tcPr>
            <w:tcW w:w="7796" w:type="dxa"/>
            <w:gridSpan w:val="5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18223086">
            <w:pPr>
              <w:spacing w:after="0" w:line="240" w:lineRule="auto"/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028B3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1" w:type="dxa"/>
            <w:gridSpan w:val="5"/>
            <w:tcBorders>
              <w:top w:val="single" w:color="auto" w:sz="6" w:space="0"/>
              <w:bottom w:val="single" w:color="auto" w:sz="12" w:space="0"/>
              <w:right w:val="double" w:color="auto" w:sz="12" w:space="0"/>
            </w:tcBorders>
          </w:tcPr>
          <w:p w14:paraId="6EA6712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</w:rPr>
              <w:t>RAZRADA ISHODA:</w:t>
            </w:r>
          </w:p>
          <w:p w14:paraId="02CEC78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Stvara kroz igru vlastite uratke potaknute određenim medijskim sadržajem.</w:t>
            </w:r>
          </w:p>
        </w:tc>
        <w:tc>
          <w:tcPr>
            <w:tcW w:w="7796" w:type="dxa"/>
            <w:gridSpan w:val="5"/>
            <w:tcBorders>
              <w:top w:val="single" w:color="auto" w:sz="6" w:space="0"/>
              <w:left w:val="double" w:color="auto" w:sz="12" w:space="0"/>
              <w:bottom w:val="single" w:color="auto" w:sz="12" w:space="0"/>
            </w:tcBorders>
          </w:tcPr>
          <w:p w14:paraId="51C84A7F">
            <w:pPr>
              <w:spacing w:after="0" w:line="240" w:lineRule="auto"/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384BB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7" w:type="dxa"/>
            <w:gridSpan w:val="10"/>
            <w:tcBorders>
              <w:top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DEEAF6" w:themeFill="accent1" w:themeFillTint="33"/>
          </w:tcPr>
          <w:p w14:paraId="31E4F9B0">
            <w:pPr>
              <w:tabs>
                <w:tab w:val="left" w:pos="2241"/>
                <w:tab w:val="center" w:pos="7830"/>
              </w:tabs>
              <w:spacing w:after="0" w:line="240" w:lineRule="auto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ab/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ab/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C.3.3. Učenik razlikuje kulturne događaje koje posjećuje i iskazuje svoje mišljenje o njima.</w:t>
            </w:r>
          </w:p>
        </w:tc>
      </w:tr>
      <w:tr w14:paraId="00D05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0" w:type="dxa"/>
            <w:tcBorders>
              <w:top w:val="nil"/>
              <w:bottom w:val="single" w:color="auto" w:sz="6" w:space="0"/>
              <w:right w:val="double" w:color="auto" w:sz="12" w:space="0"/>
            </w:tcBorders>
            <w:shd w:val="clear" w:color="auto" w:fill="DEEAF6" w:themeFill="accent1" w:themeFillTint="33"/>
          </w:tcPr>
          <w:p w14:paraId="4B4907C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13197" w:type="dxa"/>
            <w:gridSpan w:val="9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</w:tcPr>
          <w:p w14:paraId="7FFF50E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10C15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1" w:type="dxa"/>
            <w:gridSpan w:val="3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52DAB2C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Posjećuje kulturne događaje i sudjeluje u njima.</w:t>
            </w:r>
          </w:p>
          <w:p w14:paraId="2B08DD4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10206" w:type="dxa"/>
            <w:gridSpan w:val="7"/>
            <w:tcBorders>
              <w:top w:val="single" w:color="auto" w:sz="6" w:space="0"/>
              <w:bottom w:val="single" w:color="auto" w:sz="6" w:space="0"/>
            </w:tcBorders>
          </w:tcPr>
          <w:p w14:paraId="072AD1D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14:paraId="15010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3" w:type="dxa"/>
            <w:gridSpan w:val="7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3B658F82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Iskazuje svoje mišljenje o kulturnome događaju (atmosferi, raspoloženju).</w:t>
            </w:r>
          </w:p>
        </w:tc>
        <w:tc>
          <w:tcPr>
            <w:tcW w:w="6804" w:type="dxa"/>
            <w:gridSpan w:val="3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423F4A9D">
            <w:pPr>
              <w:spacing w:after="0" w:line="240" w:lineRule="auto"/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7B4B2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073" w:type="dxa"/>
            <w:gridSpan w:val="7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09F34D31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Razgovara s ostalim učenicima nakon kulturnoga događaja.</w:t>
            </w:r>
          </w:p>
        </w:tc>
        <w:tc>
          <w:tcPr>
            <w:tcW w:w="6804" w:type="dxa"/>
            <w:gridSpan w:val="3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55E4F43E">
            <w:pPr>
              <w:spacing w:after="0" w:line="240" w:lineRule="auto"/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666BB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3" w:type="dxa"/>
            <w:gridSpan w:val="7"/>
            <w:tcBorders>
              <w:top w:val="single" w:color="auto" w:sz="6" w:space="0"/>
              <w:bottom w:val="single" w:color="auto" w:sz="4" w:space="0"/>
              <w:right w:val="double" w:color="auto" w:sz="12" w:space="0"/>
            </w:tcBorders>
          </w:tcPr>
          <w:p w14:paraId="0C348221">
            <w:pPr>
              <w:spacing w:after="0" w:line="240" w:lineRule="auto"/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Izdvaja što mu se sviđa ili ne sviđa u vezi s kulturnim događajem.</w:t>
            </w:r>
          </w:p>
        </w:tc>
        <w:tc>
          <w:tcPr>
            <w:tcW w:w="6804" w:type="dxa"/>
            <w:gridSpan w:val="3"/>
            <w:tcBorders>
              <w:top w:val="single" w:color="auto" w:sz="6" w:space="0"/>
              <w:left w:val="double" w:color="auto" w:sz="12" w:space="0"/>
              <w:bottom w:val="single" w:color="auto" w:sz="4" w:space="0"/>
            </w:tcBorders>
          </w:tcPr>
          <w:p w14:paraId="5570E2C3">
            <w:pPr>
              <w:spacing w:after="0" w:line="240" w:lineRule="auto"/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67CE2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3" w:type="dxa"/>
            <w:gridSpan w:val="7"/>
            <w:tcBorders>
              <w:top w:val="single" w:color="auto" w:sz="4" w:space="0"/>
              <w:bottom w:val="single" w:color="auto" w:sz="12" w:space="0"/>
              <w:right w:val="double" w:color="auto" w:sz="12" w:space="0"/>
            </w:tcBorders>
          </w:tcPr>
          <w:p w14:paraId="4DCD91A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Izražava svoj doživljaj kulturnoga događaja crtežom, slikom, govorom ili kratkim tekstom.</w:t>
            </w:r>
          </w:p>
        </w:tc>
        <w:tc>
          <w:tcPr>
            <w:tcW w:w="6804" w:type="dxa"/>
            <w:gridSpan w:val="3"/>
            <w:tcBorders>
              <w:top w:val="single" w:color="auto" w:sz="4" w:space="0"/>
              <w:left w:val="double" w:color="auto" w:sz="12" w:space="0"/>
              <w:bottom w:val="single" w:color="auto" w:sz="12" w:space="0"/>
            </w:tcBorders>
          </w:tcPr>
          <w:p w14:paraId="6259F3C8">
            <w:pPr>
              <w:spacing w:after="0" w:line="240" w:lineRule="auto"/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</w:tbl>
    <w:p w14:paraId="6BBA0CD9">
      <w:pPr>
        <w:rPr>
          <w:rFonts w:cstheme="minorHAnsi"/>
        </w:rPr>
      </w:pPr>
    </w:p>
    <w:p w14:paraId="5B8BCEFA">
      <w:pPr>
        <w:rPr>
          <w:rFonts w:cstheme="minorHAnsi"/>
        </w:rPr>
      </w:pPr>
    </w:p>
    <w:p w14:paraId="1D902743">
      <w:pPr>
        <w:rPr>
          <w:rFonts w:cstheme="minorHAnsi"/>
        </w:rPr>
      </w:pPr>
    </w:p>
    <w:p w14:paraId="4D2F7312">
      <w:pPr>
        <w:rPr>
          <w:rFonts w:cstheme="minorHAnsi"/>
        </w:rPr>
      </w:pPr>
    </w:p>
    <w:p w14:paraId="2F918C50">
      <w:pPr>
        <w:rPr>
          <w:rFonts w:cstheme="minorHAnsi"/>
        </w:rPr>
      </w:pPr>
    </w:p>
    <w:p w14:paraId="64E3F65B">
      <w:pPr>
        <w:rPr>
          <w:rFonts w:cstheme="minorHAnsi"/>
        </w:rPr>
      </w:pPr>
    </w:p>
    <w:p w14:paraId="7190E70D">
      <w:pPr>
        <w:rPr>
          <w:rFonts w:cstheme="minorHAnsi"/>
        </w:rPr>
      </w:pPr>
    </w:p>
    <w:p w14:paraId="7E2415EC">
      <w:pPr>
        <w:rPr>
          <w:rFonts w:cstheme="minorHAnsi"/>
        </w:rPr>
      </w:pPr>
    </w:p>
    <w:p w14:paraId="0448F936">
      <w:pPr>
        <w:rPr>
          <w:rFonts w:cstheme="minorHAnsi"/>
        </w:rPr>
      </w:pPr>
    </w:p>
    <w:p w14:paraId="216E11CD">
      <w:pPr>
        <w:rPr>
          <w:rFonts w:cstheme="minorHAnsi"/>
        </w:rPr>
      </w:pPr>
    </w:p>
    <w:p w14:paraId="3692FA26">
      <w:pPr>
        <w:rPr>
          <w:rFonts w:cstheme="minorHAnsi"/>
        </w:rPr>
      </w:pPr>
    </w:p>
    <w:p w14:paraId="0FF2DD5B">
      <w:pPr>
        <w:rPr>
          <w:rFonts w:cstheme="minorHAnsi"/>
        </w:rPr>
      </w:pPr>
    </w:p>
    <w:p w14:paraId="76F035A2">
      <w:pPr>
        <w:rPr>
          <w:rFonts w:cstheme="minorHAnsi"/>
        </w:rPr>
      </w:pPr>
    </w:p>
    <w:p w14:paraId="4448D98F">
      <w:pPr>
        <w:rPr>
          <w:rFonts w:cstheme="minorHAnsi"/>
        </w:rPr>
      </w:pPr>
    </w:p>
    <w:p w14:paraId="582BD317">
      <w:pPr>
        <w:rPr>
          <w:rFonts w:cstheme="minorHAnsi"/>
        </w:rPr>
      </w:pPr>
    </w:p>
    <w:p w14:paraId="1FA8B33B">
      <w:pPr>
        <w:rPr>
          <w:rFonts w:cstheme="minorHAnsi"/>
        </w:rPr>
      </w:pPr>
    </w:p>
    <w:p w14:paraId="0FD7FBB2">
      <w:pPr>
        <w:jc w:val="center"/>
        <w:rPr>
          <w:rFonts w:cstheme="minorHAnsi"/>
          <w:b/>
          <w:sz w:val="40"/>
        </w:rPr>
      </w:pPr>
      <w:r>
        <w:rPr>
          <w:rFonts w:cstheme="minorHAnsi"/>
          <w:b/>
          <w:sz w:val="28"/>
        </w:rPr>
        <w:t>NASTAVNI PREDMET:  LIKOVNA KULTURA</w:t>
      </w:r>
    </w:p>
    <w:p w14:paraId="7938989F">
      <w:pPr>
        <w:rPr>
          <w:rFonts w:cstheme="minorHAnsi"/>
          <w:i/>
          <w:sz w:val="24"/>
          <w:szCs w:val="28"/>
        </w:rPr>
      </w:pPr>
      <w:r>
        <w:rPr>
          <w:rFonts w:cstheme="minorHAnsi"/>
          <w:i/>
          <w:sz w:val="24"/>
          <w:szCs w:val="28"/>
        </w:rPr>
        <w:t>Učenje i poučavanje predmeta Likovna kultura u 3. razredu osnovne škole organizira se kao niz manjih ili većih cjelina vezanih uz zadane i izborne teme.</w:t>
      </w:r>
    </w:p>
    <w:p w14:paraId="0B43F2CB">
      <w:pPr>
        <w:rPr>
          <w:rFonts w:cstheme="minorHAnsi"/>
          <w:b/>
          <w:i/>
          <w:sz w:val="28"/>
          <w:szCs w:val="28"/>
        </w:rPr>
      </w:pPr>
      <w:r>
        <w:rPr>
          <w:rFonts w:cstheme="minorHAnsi"/>
          <w:b/>
          <w:i/>
          <w:sz w:val="28"/>
          <w:szCs w:val="28"/>
        </w:rPr>
        <w:t>Zadane teme:</w:t>
      </w:r>
    </w:p>
    <w:p w14:paraId="48C5FFEE">
      <w:pPr>
        <w:pStyle w:val="11"/>
        <w:numPr>
          <w:ilvl w:val="0"/>
          <w:numId w:val="4"/>
        </w:numPr>
        <w:rPr>
          <w:rFonts w:cstheme="minorHAnsi"/>
          <w:i/>
          <w:sz w:val="24"/>
          <w:szCs w:val="28"/>
        </w:rPr>
      </w:pPr>
      <w:r>
        <w:rPr>
          <w:rFonts w:cstheme="minorHAnsi"/>
          <w:b/>
          <w:i/>
          <w:sz w:val="24"/>
          <w:szCs w:val="28"/>
        </w:rPr>
        <w:t>Slika, igra, priča:</w:t>
      </w:r>
      <w:r>
        <w:rPr>
          <w:rFonts w:cstheme="minorHAnsi"/>
          <w:i/>
          <w:sz w:val="24"/>
          <w:szCs w:val="28"/>
        </w:rPr>
        <w:t xml:space="preserve"> učenik istražuje različite odnose između slike i priče proizašle iz osobnih doživljaja. Kao poticaj koristi igru, umjetnička djela, literarne i glazbene predloške (ispričati priču kombinacijama boja, kontrasta, ritma itd.).</w:t>
      </w:r>
    </w:p>
    <w:p w14:paraId="6EF8316A">
      <w:pPr>
        <w:pStyle w:val="11"/>
        <w:numPr>
          <w:ilvl w:val="0"/>
          <w:numId w:val="4"/>
        </w:numPr>
        <w:rPr>
          <w:rFonts w:cstheme="minorHAnsi"/>
          <w:i/>
          <w:sz w:val="24"/>
          <w:szCs w:val="28"/>
        </w:rPr>
      </w:pPr>
      <w:r>
        <w:rPr>
          <w:rFonts w:cstheme="minorHAnsi"/>
          <w:b/>
          <w:i/>
          <w:sz w:val="24"/>
          <w:szCs w:val="28"/>
        </w:rPr>
        <w:t>Vidljivo-nevidljivo:</w:t>
      </w:r>
      <w:r>
        <w:rPr>
          <w:rFonts w:cstheme="minorHAnsi"/>
          <w:i/>
          <w:sz w:val="24"/>
          <w:szCs w:val="28"/>
        </w:rPr>
        <w:t xml:space="preserve"> učenik koristi likovnu ili vizualnu umjetnost kao mogućnost interpretacije vidljivoga (svijeta koji ga okružuje) i izražavanja nevidljivoga (unutarnjega svijeta osjećaja, misli i stavova).</w:t>
      </w:r>
    </w:p>
    <w:p w14:paraId="428C9530">
      <w:pPr>
        <w:pStyle w:val="11"/>
        <w:numPr>
          <w:ilvl w:val="0"/>
          <w:numId w:val="4"/>
        </w:numPr>
        <w:rPr>
          <w:rFonts w:cstheme="minorHAnsi"/>
          <w:i/>
          <w:sz w:val="24"/>
          <w:szCs w:val="28"/>
        </w:rPr>
      </w:pPr>
      <w:r>
        <w:rPr>
          <w:rFonts w:cstheme="minorHAnsi"/>
          <w:b/>
          <w:i/>
          <w:sz w:val="24"/>
          <w:szCs w:val="28"/>
        </w:rPr>
        <w:t>Priroda i oblik:</w:t>
      </w:r>
      <w:r>
        <w:rPr>
          <w:rFonts w:cstheme="minorHAnsi"/>
          <w:i/>
          <w:sz w:val="24"/>
          <w:szCs w:val="28"/>
        </w:rPr>
        <w:t xml:space="preserve"> učenik istražuje prirodu različitim osjetilima (vizualni opažaj, taktilni i prostorni doživljaj: uočavanje detalja, boja, površina, odnosa veličina i oblika, ritma, građe oblika itd.). </w:t>
      </w:r>
    </w:p>
    <w:p w14:paraId="264418A6">
      <w:pPr>
        <w:pStyle w:val="11"/>
        <w:numPr>
          <w:ilvl w:val="0"/>
          <w:numId w:val="4"/>
        </w:numPr>
        <w:rPr>
          <w:rFonts w:cstheme="minorHAnsi"/>
          <w:i/>
          <w:sz w:val="24"/>
          <w:szCs w:val="28"/>
        </w:rPr>
      </w:pPr>
      <w:r>
        <w:rPr>
          <w:rFonts w:cstheme="minorHAnsi"/>
          <w:b/>
          <w:i/>
          <w:sz w:val="24"/>
          <w:szCs w:val="28"/>
        </w:rPr>
        <w:t>Prostor u kojem boravim:</w:t>
      </w:r>
      <w:r>
        <w:rPr>
          <w:rFonts w:cstheme="minorHAnsi"/>
          <w:i/>
          <w:sz w:val="24"/>
          <w:szCs w:val="28"/>
        </w:rPr>
        <w:t xml:space="preserve"> učenik istražuje povezanost oblikovanja prostora u kojem svakodnevno boravi s kvalitetom vlastitog života (namjena, veličina, boja, oblik, granice prostora itd.).</w:t>
      </w:r>
    </w:p>
    <w:p w14:paraId="1D72535A">
      <w:pPr>
        <w:rPr>
          <w:rFonts w:cstheme="minorHAnsi"/>
          <w:b/>
          <w:i/>
          <w:sz w:val="28"/>
          <w:szCs w:val="28"/>
        </w:rPr>
      </w:pPr>
      <w:r>
        <w:rPr>
          <w:rFonts w:cstheme="minorHAnsi"/>
          <w:b/>
          <w:i/>
          <w:sz w:val="28"/>
          <w:szCs w:val="28"/>
        </w:rPr>
        <w:t>Izborne teme:</w:t>
      </w:r>
    </w:p>
    <w:p w14:paraId="45F45C44">
      <w:pPr>
        <w:pStyle w:val="11"/>
        <w:numPr>
          <w:ilvl w:val="0"/>
          <w:numId w:val="5"/>
        </w:numPr>
        <w:rPr>
          <w:rFonts w:cstheme="minorHAnsi"/>
          <w:i/>
          <w:sz w:val="24"/>
          <w:szCs w:val="28"/>
        </w:rPr>
      </w:pPr>
      <w:r>
        <w:rPr>
          <w:rFonts w:cstheme="minorHAnsi"/>
          <w:b/>
          <w:i/>
          <w:sz w:val="24"/>
          <w:szCs w:val="28"/>
        </w:rPr>
        <w:t>Zajedno smo različiti:</w:t>
      </w:r>
      <w:r>
        <w:rPr>
          <w:rFonts w:cstheme="minorHAnsi"/>
          <w:i/>
          <w:sz w:val="24"/>
          <w:szCs w:val="28"/>
        </w:rPr>
        <w:t xml:space="preserve"> učenik likovnim i vizualnim izražavanjem istražuje pripadnost skupini, vršnjacima, obitelji i zajednici te važnost prihvaćanja različitosti, međusobnog uvažavanja i tolerancije.</w:t>
      </w:r>
    </w:p>
    <w:p w14:paraId="4A847BDD">
      <w:pPr>
        <w:pStyle w:val="11"/>
        <w:numPr>
          <w:ilvl w:val="0"/>
          <w:numId w:val="5"/>
        </w:numPr>
        <w:rPr>
          <w:rFonts w:cstheme="minorHAnsi"/>
          <w:i/>
          <w:sz w:val="24"/>
          <w:szCs w:val="28"/>
        </w:rPr>
      </w:pPr>
      <w:r>
        <w:rPr>
          <w:rFonts w:cstheme="minorHAnsi"/>
          <w:b/>
          <w:i/>
          <w:sz w:val="24"/>
          <w:szCs w:val="28"/>
        </w:rPr>
        <w:t xml:space="preserve">Umjetnost i zajednica: </w:t>
      </w:r>
      <w:r>
        <w:rPr>
          <w:rFonts w:cstheme="minorHAnsi"/>
          <w:i/>
          <w:sz w:val="24"/>
          <w:szCs w:val="28"/>
        </w:rPr>
        <w:t>učenik istražuje likovno i vizualno oblikovanje kao sastavni dio života pojedinca i zajednice (prisutnost likovnog i vizualnog oblikovanja u svakodnevnom okruženju; dizajn, primijenjena umjetnost, vizualne komunikacije, kazalište, spomenici, muzeji, galerije, izložbe, ulična umjetnost).</w:t>
      </w:r>
    </w:p>
    <w:p w14:paraId="57909AFC">
      <w:pPr>
        <w:spacing w:before="100" w:beforeAutospacing="1" w:after="100" w:afterAutospacing="1" w:line="240" w:lineRule="auto"/>
        <w:ind w:left="82"/>
        <w:rPr>
          <w:rFonts w:eastAsia="Times New Roman" w:cstheme="minorHAnsi"/>
          <w:b/>
          <w:i/>
          <w:sz w:val="24"/>
          <w:szCs w:val="28"/>
          <w:lang w:eastAsia="hr-HR"/>
        </w:rPr>
      </w:pPr>
      <w:r>
        <w:rPr>
          <w:rFonts w:cstheme="minorHAnsi"/>
          <w:b/>
          <w:i/>
          <w:sz w:val="24"/>
          <w:szCs w:val="28"/>
        </w:rPr>
        <w:t xml:space="preserve">A.3.1. </w:t>
      </w:r>
      <w:r>
        <w:rPr>
          <w:rFonts w:eastAsia="Times New Roman" w:cstheme="minorHAnsi"/>
          <w:b/>
          <w:i/>
          <w:sz w:val="24"/>
          <w:szCs w:val="28"/>
          <w:lang w:eastAsia="hr-HR"/>
        </w:rPr>
        <w:t>Obvezni likovni pojmovi:</w:t>
      </w:r>
    </w:p>
    <w:p w14:paraId="7B3088E7">
      <w:pPr>
        <w:pStyle w:val="24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Obvezni likovni pojmovi:</w:t>
      </w:r>
    </w:p>
    <w:p w14:paraId="1000F3D7">
      <w:pPr>
        <w:pStyle w:val="24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Značenje crta: obrisne i gradbene crte.</w:t>
      </w:r>
    </w:p>
    <w:p w14:paraId="0F974491">
      <w:pPr>
        <w:pStyle w:val="24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Boja: Tonsko stupnjevanje. Tonsko i kolorističko izražavanje. Komplementarni kontrast.</w:t>
      </w:r>
    </w:p>
    <w:p w14:paraId="392E30C3">
      <w:pPr>
        <w:pStyle w:val="24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Ploha: otisak, matrica, pozitiv – negativ; različite vrste površina (umjetnička djela i okolina).</w:t>
      </w:r>
    </w:p>
    <w:p w14:paraId="3C118A9F">
      <w:pPr>
        <w:pStyle w:val="24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Crtačka, slikarska i plastička tekstura.</w:t>
      </w:r>
    </w:p>
    <w:p w14:paraId="07FFD12E">
      <w:pPr>
        <w:pStyle w:val="24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Masa i prostor: različiti odnosi mase i prostora; reljef.</w:t>
      </w:r>
    </w:p>
    <w:p w14:paraId="7C0875E6">
      <w:pPr>
        <w:pStyle w:val="24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Omjer veličina likova i masa; ravnoteža (simetrija i asimetrija).</w:t>
      </w:r>
    </w:p>
    <w:p w14:paraId="5017ED22">
      <w:pPr>
        <w:pStyle w:val="24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</w:p>
    <w:p w14:paraId="4B2CB6CF">
      <w:pPr>
        <w:pStyle w:val="24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</w:p>
    <w:p w14:paraId="4F605C81">
      <w:pPr>
        <w:pStyle w:val="24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</w:p>
    <w:p w14:paraId="6B9FEE7D">
      <w:pPr>
        <w:pStyle w:val="24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Učenik odgovara likovnim i vizualnim izražavanjem na razne vrste poticaja:</w:t>
      </w:r>
    </w:p>
    <w:p w14:paraId="718D2E03">
      <w:pPr>
        <w:pStyle w:val="24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- osobni sadržaji (osjećaji, misli, iskustva, stavovi i vrijednosti)</w:t>
      </w:r>
    </w:p>
    <w:p w14:paraId="502B2BFD">
      <w:pPr>
        <w:pStyle w:val="24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- sadržaji likovne/vizualne umjetnosti ili sadržaji/izraz drugih umjetničkih područja</w:t>
      </w:r>
    </w:p>
    <w:p w14:paraId="23436F57">
      <w:pPr>
        <w:pStyle w:val="24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- sadržaji iz svakodnevnog života i neposredne okoline (informacije).</w:t>
      </w:r>
    </w:p>
    <w:p w14:paraId="48438A49">
      <w:pPr>
        <w:pStyle w:val="11"/>
        <w:spacing w:before="100" w:beforeAutospacing="1" w:after="100" w:afterAutospacing="1" w:line="240" w:lineRule="auto"/>
        <w:ind w:left="802"/>
        <w:rPr>
          <w:rFonts w:eastAsia="Times New Roman" w:cstheme="minorHAnsi"/>
          <w:i/>
          <w:sz w:val="24"/>
          <w:lang w:eastAsia="hr-HR"/>
        </w:rPr>
      </w:pPr>
    </w:p>
    <w:p w14:paraId="621CE3F7">
      <w:pPr>
        <w:rPr>
          <w:rFonts w:eastAsia="Times New Roman" w:cstheme="minorHAnsi"/>
          <w:b/>
          <w:i/>
          <w:sz w:val="24"/>
          <w:szCs w:val="28"/>
          <w:lang w:eastAsia="hr-HR"/>
        </w:rPr>
      </w:pPr>
      <w:r>
        <w:rPr>
          <w:rFonts w:cstheme="minorHAnsi"/>
          <w:b/>
          <w:i/>
          <w:sz w:val="24"/>
          <w:szCs w:val="28"/>
        </w:rPr>
        <w:t xml:space="preserve">A.3.2. </w:t>
      </w:r>
      <w:r>
        <w:rPr>
          <w:rFonts w:eastAsia="Times New Roman" w:cstheme="minorHAnsi"/>
          <w:b/>
          <w:i/>
          <w:sz w:val="24"/>
          <w:szCs w:val="28"/>
          <w:lang w:eastAsia="hr-HR"/>
        </w:rPr>
        <w:t>Sadržaji za ostvarivanje odgojno-obrazovnih ishoda</w:t>
      </w:r>
    </w:p>
    <w:p w14:paraId="09626595">
      <w:pPr>
        <w:spacing w:before="100" w:beforeAutospacing="1" w:after="100" w:afterAutospacing="1" w:line="240" w:lineRule="auto"/>
        <w:ind w:left="82"/>
        <w:rPr>
          <w:rFonts w:eastAsia="Times New Roman" w:cstheme="minorHAnsi"/>
          <w:i/>
          <w:sz w:val="24"/>
          <w:lang w:eastAsia="hr-HR"/>
        </w:rPr>
      </w:pPr>
      <w:r>
        <w:rPr>
          <w:rFonts w:eastAsia="Times New Roman" w:cstheme="minorHAnsi"/>
          <w:i/>
          <w:sz w:val="24"/>
          <w:lang w:eastAsia="hr-HR"/>
        </w:rPr>
        <w:t>Učenik koristi neke od predloženih likovnih materijala i tehnika:</w:t>
      </w:r>
    </w:p>
    <w:p w14:paraId="3828E5E0">
      <w:pPr>
        <w:pStyle w:val="24"/>
        <w:numPr>
          <w:ilvl w:val="0"/>
          <w:numId w:val="7"/>
        </w:num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Crtački: olovka, ugljen, kreda, flomaster, tuš, pero, kist, lavirani tuš.</w:t>
      </w:r>
    </w:p>
    <w:p w14:paraId="140799E5">
      <w:pPr>
        <w:pStyle w:val="24"/>
        <w:numPr>
          <w:ilvl w:val="0"/>
          <w:numId w:val="7"/>
        </w:num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Slikarski: akvarel, gvaš, tempere, pastel, flomasteri, kolaž papir, kolaž iz časopisa.</w:t>
      </w:r>
    </w:p>
    <w:p w14:paraId="02A79FAA">
      <w:pPr>
        <w:pStyle w:val="24"/>
        <w:numPr>
          <w:ilvl w:val="0"/>
          <w:numId w:val="7"/>
        </w:num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Prostorno-plastički: glina, glinamol, papir-plastika, ambalaža i drugi materijali, aluminijska folija, kaširani papir (papir mâšé).</w:t>
      </w:r>
    </w:p>
    <w:p w14:paraId="73A4FC72">
      <w:pPr>
        <w:pStyle w:val="24"/>
        <w:numPr>
          <w:ilvl w:val="0"/>
          <w:numId w:val="7"/>
        </w:num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Grafički: monotipija, kartonski tisak.</w:t>
      </w:r>
    </w:p>
    <w:p w14:paraId="458110A8">
      <w:pPr>
        <w:rPr>
          <w:rFonts w:eastAsia="Times New Roman" w:cstheme="minorHAnsi"/>
          <w:b/>
          <w:i/>
          <w:sz w:val="10"/>
          <w:lang w:eastAsia="hr-HR"/>
        </w:rPr>
      </w:pPr>
    </w:p>
    <w:p w14:paraId="0368CBEF">
      <w:pPr>
        <w:rPr>
          <w:rFonts w:eastAsia="Times New Roman" w:cstheme="minorHAnsi"/>
          <w:b/>
          <w:i/>
          <w:sz w:val="28"/>
          <w:lang w:eastAsia="hr-HR"/>
        </w:rPr>
      </w:pPr>
      <w:r>
        <w:rPr>
          <w:rFonts w:eastAsia="Times New Roman" w:cstheme="minorHAnsi"/>
          <w:b/>
          <w:i/>
          <w:sz w:val="28"/>
          <w:lang w:eastAsia="hr-HR"/>
        </w:rPr>
        <w:t>Razina usvojenosti odnosi se na konkretnu demonstraciju na nastavi te se može i ne mora sumativno vrednovati.</w:t>
      </w:r>
    </w:p>
    <w:p w14:paraId="70CEA4C5">
      <w:pPr>
        <w:pStyle w:val="23"/>
        <w:rPr>
          <w:rFonts w:asciiTheme="minorHAnsi" w:hAnsiTheme="minorHAnsi" w:cstheme="minorHAnsi"/>
          <w:b/>
          <w:i/>
          <w:sz w:val="28"/>
          <w:szCs w:val="22"/>
        </w:rPr>
      </w:pPr>
      <w:r>
        <w:rPr>
          <w:rFonts w:asciiTheme="minorHAnsi" w:hAnsiTheme="minorHAnsi" w:cstheme="minorHAnsi"/>
          <w:b/>
          <w:i/>
          <w:sz w:val="28"/>
          <w:szCs w:val="22"/>
        </w:rPr>
        <w:t>Vrednovanje naučenoga</w:t>
      </w:r>
    </w:p>
    <w:p w14:paraId="42940204">
      <w:pPr>
        <w:pStyle w:val="23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 xml:space="preserve">Vrednovanje se naučenoga provodi u skladu s ostvarenošću odgojno-obrazovnih ishoda raspoređenih u tri domene. </w:t>
      </w:r>
    </w:p>
    <w:p w14:paraId="431E3562">
      <w:pPr>
        <w:pStyle w:val="23"/>
        <w:jc w:val="both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 xml:space="preserve">Domena </w:t>
      </w:r>
      <w:r>
        <w:rPr>
          <w:rFonts w:asciiTheme="minorHAnsi" w:hAnsiTheme="minorHAnsi" w:cstheme="minorHAnsi"/>
          <w:b/>
          <w:i/>
          <w:szCs w:val="22"/>
        </w:rPr>
        <w:t>Stvaralaštvo i produktivnost</w:t>
      </w:r>
      <w:r>
        <w:rPr>
          <w:rFonts w:asciiTheme="minorHAnsi" w:hAnsiTheme="minorHAnsi" w:cstheme="minorHAnsi"/>
          <w:i/>
          <w:szCs w:val="22"/>
        </w:rPr>
        <w:t xml:space="preserve"> polazište je i poveznica svih odgojno-obrazovnih ishoda te iz nje proizlaze dva elementa vrednovanja: </w:t>
      </w:r>
    </w:p>
    <w:p w14:paraId="78F2D9F3">
      <w:pPr>
        <w:pStyle w:val="23"/>
        <w:numPr>
          <w:ilvl w:val="0"/>
          <w:numId w:val="8"/>
        </w:numPr>
        <w:jc w:val="both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 xml:space="preserve">stvaralaštvo (stvaralački proces) i </w:t>
      </w:r>
    </w:p>
    <w:p w14:paraId="17A027F4">
      <w:pPr>
        <w:pStyle w:val="23"/>
        <w:numPr>
          <w:ilvl w:val="0"/>
          <w:numId w:val="8"/>
        </w:numPr>
        <w:jc w:val="both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 xml:space="preserve">produktivnost (likovni i vizualni izraz: realizacija ideje u formi, materijalu i mediju). </w:t>
      </w:r>
    </w:p>
    <w:p w14:paraId="76298C09">
      <w:pPr>
        <w:pStyle w:val="23"/>
        <w:jc w:val="both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 xml:space="preserve">Vrednovanje ishoda iz te domene predstavlja težište procjene postignuća učenika dok se vrednovanje realizacije ishoda iz drugih domena nadovezuje na nju. </w:t>
      </w:r>
    </w:p>
    <w:p w14:paraId="32EE31A7">
      <w:pPr>
        <w:pStyle w:val="23"/>
        <w:jc w:val="both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 xml:space="preserve">Odgojno obrazovni ishodi domena </w:t>
      </w:r>
      <w:r>
        <w:rPr>
          <w:rFonts w:asciiTheme="minorHAnsi" w:hAnsiTheme="minorHAnsi" w:cstheme="minorHAnsi"/>
          <w:b/>
          <w:i/>
          <w:szCs w:val="22"/>
        </w:rPr>
        <w:t>Doživljaj i kritički stav</w:t>
      </w:r>
      <w:r>
        <w:rPr>
          <w:rFonts w:asciiTheme="minorHAnsi" w:hAnsiTheme="minorHAnsi" w:cstheme="minorHAnsi"/>
          <w:i/>
          <w:szCs w:val="22"/>
        </w:rPr>
        <w:t xml:space="preserve"> te </w:t>
      </w:r>
      <w:r>
        <w:rPr>
          <w:rFonts w:asciiTheme="minorHAnsi" w:hAnsiTheme="minorHAnsi" w:cstheme="minorHAnsi"/>
          <w:b/>
          <w:i/>
          <w:szCs w:val="22"/>
        </w:rPr>
        <w:t>Umjetnost u kontekstu</w:t>
      </w:r>
      <w:r>
        <w:rPr>
          <w:rFonts w:asciiTheme="minorHAnsi" w:hAnsiTheme="minorHAnsi" w:cstheme="minorHAnsi"/>
          <w:i/>
          <w:szCs w:val="22"/>
        </w:rPr>
        <w:t xml:space="preserve"> vrednuju se zajedno. U prvoj i drugoj godini učenja veća se važnost u vrednovanju elementa kritičko mišljenje i kontekst daje doživljaju, a od trećeg do osmog razreda razvoju kritičkoga mišljenja i povezivanju stvaralačkoga procesa s različitim kontekstima. </w:t>
      </w:r>
    </w:p>
    <w:p w14:paraId="21B4A5B5">
      <w:pPr>
        <w:pStyle w:val="23"/>
        <w:jc w:val="both"/>
        <w:rPr>
          <w:rFonts w:asciiTheme="minorHAnsi" w:hAnsiTheme="minorHAnsi" w:cstheme="minorHAnsi"/>
          <w:i/>
          <w:szCs w:val="22"/>
        </w:rPr>
      </w:pPr>
    </w:p>
    <w:p w14:paraId="76F39B39">
      <w:pPr>
        <w:pStyle w:val="23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>
        <w:rPr>
          <w:rFonts w:asciiTheme="minorHAnsi" w:hAnsiTheme="minorHAnsi" w:cstheme="minorHAnsi"/>
          <w:b/>
          <w:i/>
          <w:sz w:val="28"/>
          <w:szCs w:val="22"/>
        </w:rPr>
        <w:t>Elementi ocjenjivanja i vrednovanja od prvog do četvrtog razreda osnovne škole uključuju:</w:t>
      </w:r>
    </w:p>
    <w:p w14:paraId="7A96C573">
      <w:pPr>
        <w:pStyle w:val="23"/>
        <w:numPr>
          <w:ilvl w:val="1"/>
          <w:numId w:val="9"/>
        </w:numPr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stvaralaštvo (stvaralački proces)</w:t>
      </w:r>
    </w:p>
    <w:p w14:paraId="0521D4C7">
      <w:pPr>
        <w:pStyle w:val="23"/>
        <w:numPr>
          <w:ilvl w:val="1"/>
          <w:numId w:val="9"/>
        </w:numPr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stvaranje udaljenih asocijacija (izbjegavanje šablonskih i stereotipnih prikaza)</w:t>
      </w:r>
    </w:p>
    <w:p w14:paraId="7DEC7D7A">
      <w:pPr>
        <w:pStyle w:val="23"/>
        <w:numPr>
          <w:ilvl w:val="1"/>
          <w:numId w:val="9"/>
        </w:numPr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prepoznaje učinjeno i na temelju toga poduzima sljedeće korake.</w:t>
      </w:r>
    </w:p>
    <w:p w14:paraId="7496B172">
      <w:pPr>
        <w:pStyle w:val="23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Načini praćenja su: diskusija, skice, bilješke (razrada procesa izvedbe), likovni ili vizualni rad.</w:t>
      </w:r>
    </w:p>
    <w:p w14:paraId="542253A1">
      <w:pPr>
        <w:pStyle w:val="17"/>
        <w:textAlignment w:val="baseline"/>
        <w:rPr>
          <w:rStyle w:val="19"/>
          <w:rFonts w:asciiTheme="minorHAnsi" w:hAnsiTheme="minorHAnsi" w:cstheme="minorHAnsi"/>
          <w:b/>
          <w:sz w:val="28"/>
        </w:rPr>
      </w:pPr>
    </w:p>
    <w:p w14:paraId="43EF3303">
      <w:pPr>
        <w:pStyle w:val="17"/>
        <w:textAlignment w:val="baseline"/>
        <w:rPr>
          <w:rStyle w:val="19"/>
          <w:rFonts w:asciiTheme="minorHAnsi" w:hAnsiTheme="minorHAnsi" w:cstheme="minorHAnsi"/>
          <w:b/>
          <w:sz w:val="28"/>
        </w:rPr>
      </w:pPr>
      <w:r>
        <w:rPr>
          <w:rStyle w:val="19"/>
          <w:rFonts w:asciiTheme="minorHAnsi" w:hAnsiTheme="minorHAnsi" w:cstheme="minorHAnsi"/>
          <w:b/>
          <w:sz w:val="28"/>
        </w:rPr>
        <w:t>Tekst u kurzivu je u cijelosti preuzet iz Kurikuluma za Likovnu kulturu.</w:t>
      </w:r>
    </w:p>
    <w:p w14:paraId="4A84C6AB">
      <w:pPr>
        <w:pStyle w:val="23"/>
        <w:rPr>
          <w:rFonts w:asciiTheme="minorHAnsi" w:hAnsiTheme="minorHAnsi" w:cstheme="minorHAnsi"/>
          <w:i/>
          <w:szCs w:val="22"/>
        </w:rPr>
      </w:pPr>
    </w:p>
    <w:p w14:paraId="62C65A06">
      <w:pPr>
        <w:pStyle w:val="15"/>
        <w:ind w:firstLine="360"/>
        <w:rPr>
          <w:rStyle w:val="16"/>
          <w:rFonts w:asciiTheme="minorHAnsi" w:hAnsiTheme="minorHAnsi" w:cstheme="minorHAnsi"/>
        </w:rPr>
      </w:pPr>
      <w:r>
        <w:rPr>
          <w:rStyle w:val="16"/>
          <w:rFonts w:asciiTheme="minorHAnsi" w:hAnsiTheme="minorHAnsi" w:cstheme="minorHAnsi"/>
        </w:rPr>
        <w:t xml:space="preserve">Praksa je pokazala da u nastavnom predmetu Likovna kultura učenici ostvaruju zadane ishode na najmanjoj razini ocjene dobar, stoga je, u navedene tri domene i napravljeno razvrstavanje postignuća od ocjene odličan do ocjene dobar. </w:t>
      </w:r>
    </w:p>
    <w:p w14:paraId="6E787217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</w:t>
      </w:r>
      <w:r>
        <w:rPr>
          <w:rStyle w:val="16"/>
          <w:rFonts w:cstheme="minorHAnsi"/>
          <w:sz w:val="24"/>
        </w:rPr>
        <w:t xml:space="preserve">Likovna </w:t>
      </w:r>
      <w:r>
        <w:rPr>
          <w:sz w:val="24"/>
          <w:szCs w:val="24"/>
        </w:rPr>
        <w:t xml:space="preserve">kultura naglasak na odgojnoj komponenti, te je  </w:t>
      </w:r>
      <w:r>
        <w:rPr>
          <w:rFonts w:cstheme="minorHAnsi"/>
          <w:sz w:val="24"/>
        </w:rPr>
        <w:t>važniji proces od krajnjeg rezultata</w:t>
      </w:r>
      <w:r>
        <w:rPr>
          <w:sz w:val="24"/>
          <w:szCs w:val="24"/>
        </w:rPr>
        <w:t>, u praksi se pokazalo kako su odgojni učinci rada jedan od bitnih sastavnica u vrednovanju, naša preporuka je</w:t>
      </w:r>
      <w:r>
        <w:rPr>
          <w:rFonts w:cstheme="minorHAnsi"/>
          <w:sz w:val="24"/>
        </w:rPr>
        <w:t xml:space="preserve"> da učitelj samostalno uvede i treći element ocjenjivanja i da taj element bude: </w:t>
      </w:r>
      <w:r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 odnos prema aktivnosti i njihova uključenost u iste</w:t>
      </w:r>
      <w:r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1DBDDB5D">
      <w:pPr>
        <w:ind w:firstLine="360"/>
        <w:jc w:val="both"/>
        <w:rPr>
          <w:rFonts w:cstheme="minorHAnsi"/>
          <w:sz w:val="24"/>
        </w:rPr>
      </w:pPr>
    </w:p>
    <w:p w14:paraId="53B663E3">
      <w:pPr>
        <w:ind w:firstLine="360"/>
        <w:jc w:val="both"/>
        <w:rPr>
          <w:rFonts w:cstheme="minorHAnsi"/>
          <w:sz w:val="24"/>
        </w:rPr>
      </w:pPr>
    </w:p>
    <w:p w14:paraId="2E9A404B">
      <w:pPr>
        <w:ind w:firstLine="360"/>
        <w:jc w:val="both"/>
        <w:rPr>
          <w:rFonts w:cstheme="minorHAnsi"/>
          <w:sz w:val="24"/>
        </w:rPr>
      </w:pPr>
    </w:p>
    <w:p w14:paraId="17952DC5">
      <w:pPr>
        <w:ind w:firstLine="360"/>
        <w:jc w:val="both"/>
        <w:rPr>
          <w:rFonts w:cstheme="minorHAnsi"/>
          <w:sz w:val="24"/>
        </w:rPr>
      </w:pPr>
    </w:p>
    <w:p w14:paraId="51098DC5">
      <w:pPr>
        <w:ind w:firstLine="360"/>
        <w:jc w:val="both"/>
        <w:rPr>
          <w:rFonts w:cstheme="minorHAnsi"/>
          <w:sz w:val="24"/>
        </w:rPr>
      </w:pPr>
    </w:p>
    <w:p w14:paraId="7690A909">
      <w:pPr>
        <w:ind w:firstLine="360"/>
        <w:jc w:val="both"/>
        <w:rPr>
          <w:rFonts w:cstheme="minorHAnsi"/>
          <w:sz w:val="24"/>
        </w:rPr>
      </w:pPr>
    </w:p>
    <w:p w14:paraId="26B1C2BF">
      <w:pPr>
        <w:ind w:firstLine="360"/>
        <w:jc w:val="both"/>
        <w:rPr>
          <w:rFonts w:cstheme="minorHAnsi"/>
          <w:sz w:val="24"/>
        </w:rPr>
      </w:pPr>
    </w:p>
    <w:p w14:paraId="0C88D243">
      <w:pPr>
        <w:pStyle w:val="23"/>
        <w:rPr>
          <w:rFonts w:asciiTheme="minorHAnsi" w:hAnsiTheme="minorHAnsi" w:cstheme="minorHAnsi"/>
          <w:szCs w:val="22"/>
        </w:rPr>
      </w:pPr>
    </w:p>
    <w:tbl>
      <w:tblPr>
        <w:tblStyle w:val="13"/>
        <w:tblW w:w="16019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4252"/>
        <w:gridCol w:w="709"/>
        <w:gridCol w:w="850"/>
        <w:gridCol w:w="2552"/>
        <w:gridCol w:w="4536"/>
      </w:tblGrid>
      <w:tr w14:paraId="5A2D5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right w:val="single" w:color="auto" w:sz="4" w:space="0"/>
            </w:tcBorders>
            <w:shd w:val="clear" w:color="auto" w:fill="C5E0B3" w:themeFill="accent6" w:themeFillTint="66"/>
          </w:tcPr>
          <w:p w14:paraId="77F702A4">
            <w:pPr>
              <w:spacing w:after="0" w:line="240" w:lineRule="auto"/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STVARALAŠTVO I PRODUKTIVNOST</w:t>
            </w:r>
          </w:p>
        </w:tc>
      </w:tr>
      <w:tr w14:paraId="14B3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right w:val="single" w:color="auto" w:sz="4" w:space="0"/>
            </w:tcBorders>
            <w:shd w:val="clear" w:color="auto" w:fill="DEEAF6" w:themeFill="accent1" w:themeFillTint="33"/>
          </w:tcPr>
          <w:p w14:paraId="05CFEC91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OŠ LK A.3.1. Učenik likovnim i vizualnim izražavanjem interpretira različite sadržaje</w:t>
            </w:r>
          </w:p>
        </w:tc>
      </w:tr>
      <w:tr w14:paraId="4AEDC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top w:val="nil"/>
              <w:right w:val="double" w:color="auto" w:sz="12" w:space="0"/>
            </w:tcBorders>
            <w:shd w:val="clear" w:color="auto" w:fill="DEEAF6" w:themeFill="accent1" w:themeFillTint="33"/>
          </w:tcPr>
          <w:p w14:paraId="3795F52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0EEAA85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</w:tcPr>
          <w:p w14:paraId="5B49F7C3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3FB2D6F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51AB8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bottom w:val="single" w:color="auto" w:sz="4" w:space="0"/>
              <w:right w:val="double" w:color="auto" w:sz="12" w:space="0"/>
            </w:tcBorders>
          </w:tcPr>
          <w:p w14:paraId="1FFECAE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ISHODA:</w:t>
            </w:r>
          </w:p>
          <w:p w14:paraId="608C5CB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koristi:</w:t>
            </w:r>
          </w:p>
          <w:p w14:paraId="03CDBC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- likovni jezik </w:t>
            </w:r>
          </w:p>
          <w:p w14:paraId="06D6F31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- iskustvo usmjerenog opažanja</w:t>
            </w:r>
          </w:p>
          <w:p w14:paraId="7F38D5B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doživljaj temeljen na osjećajima, iskustvu, mislima i informacijama</w:t>
            </w:r>
          </w:p>
          <w:p w14:paraId="0CBC092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slobodne asocijacije na temelju poticaja.</w:t>
            </w:r>
          </w:p>
        </w:tc>
        <w:tc>
          <w:tcPr>
            <w:tcW w:w="4252" w:type="dxa"/>
            <w:tcBorders>
              <w:bottom w:val="single" w:color="auto" w:sz="4" w:space="0"/>
            </w:tcBorders>
          </w:tcPr>
          <w:p w14:paraId="7B5C2CE9">
            <w:pPr>
              <w:spacing w:after="0" w:line="240" w:lineRule="auto"/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koristi:</w:t>
            </w:r>
          </w:p>
          <w:p w14:paraId="1A33EF2B">
            <w:pPr>
              <w:spacing w:after="0" w:line="240" w:lineRule="auto"/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- likovni jezik </w:t>
            </w:r>
          </w:p>
          <w:p w14:paraId="556AF64C">
            <w:pPr>
              <w:spacing w:after="0" w:line="240" w:lineRule="auto"/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- iskustvo usmjerenog opažanja</w:t>
            </w:r>
          </w:p>
          <w:p w14:paraId="0377ABDD">
            <w:pPr>
              <w:spacing w:after="0" w:line="240" w:lineRule="auto"/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4B78D83">
            <w:pPr>
              <w:spacing w:after="0" w:line="240" w:lineRule="auto"/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</w:tcPr>
          <w:p w14:paraId="2108E02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Učenik, u stvaralačkom procesu i izražavanju koristi:</w:t>
            </w:r>
          </w:p>
          <w:p w14:paraId="6C8B173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likovni jezik </w:t>
            </w:r>
          </w:p>
          <w:p w14:paraId="2F06B94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iskustvo usmjerenog opažanja</w:t>
            </w:r>
          </w:p>
          <w:p w14:paraId="2FFDBA7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– doživljaj temeljen na osjećajima, iskustvu, mislima i informacijama</w:t>
            </w:r>
          </w:p>
          <w:p w14:paraId="30BC8F7E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color="auto" w:sz="4" w:space="0"/>
            </w:tcBorders>
          </w:tcPr>
          <w:p w14:paraId="33E76ED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Učenik, u stvaralačkom procesu i izražavanju koristi:</w:t>
            </w:r>
          </w:p>
          <w:p w14:paraId="5094723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likovni jezik </w:t>
            </w:r>
          </w:p>
          <w:p w14:paraId="69EDA93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iskustvo usmjerenog opažanja</w:t>
            </w:r>
          </w:p>
          <w:p w14:paraId="5D80FCD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– doživljaj temeljen na osjećajima, iskustvu, mislima i informacijama</w:t>
            </w:r>
          </w:p>
          <w:p w14:paraId="4CD9916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– slobodne asocijacije na temelju poticaja.</w:t>
            </w:r>
          </w:p>
        </w:tc>
      </w:tr>
      <w:tr w14:paraId="06F99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bottom w:val="single" w:color="auto" w:sz="4" w:space="0"/>
              <w:right w:val="double" w:color="auto" w:sz="12" w:space="0"/>
            </w:tcBorders>
          </w:tcPr>
          <w:p w14:paraId="152C2F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 likovni jezik tako da kreće od doživljaja cjeline prema detalju.</w:t>
            </w:r>
          </w:p>
          <w:p w14:paraId="5B340B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Obvezni likovni pojmovi:</w:t>
            </w:r>
          </w:p>
          <w:p w14:paraId="76ABB56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Značenje crta: obrisne i gradbene crte.</w:t>
            </w:r>
          </w:p>
          <w:p w14:paraId="345BFFF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Boja: Tonsko stupnjevanje. Tonsko i kolorističko izražavanje. Komplementarni kontrast.</w:t>
            </w:r>
          </w:p>
          <w:p w14:paraId="4876CF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Ploha: otisak, matrica, pozitiv – negativ; različite vrste površina (umjetnička djela i okolina).</w:t>
            </w:r>
          </w:p>
          <w:p w14:paraId="110C63E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Crtačka, slikarska i plastička tekstura.</w:t>
            </w:r>
          </w:p>
          <w:p w14:paraId="23621B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Masa i prostor: različiti odnosi mase i prostora; reljef.</w:t>
            </w:r>
          </w:p>
          <w:p w14:paraId="05C76FE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Omjer veličina likova i masa; ravnoteža (simetrija i asimetrija).</w:t>
            </w:r>
          </w:p>
          <w:p w14:paraId="4F1D95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odgovara likovnim i vizualnim izražavanjem na razne vrste poticaja:</w:t>
            </w:r>
          </w:p>
          <w:p w14:paraId="3CEC68F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-osobni sadržaji (osjećaji, misli, iskustva, stavovi i vrijednosti)</w:t>
            </w:r>
          </w:p>
          <w:p w14:paraId="5483C9F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-sadržaji likovne/vizualne umjetnosti ili sadržaji/izraz drugih umjetničkih područja</w:t>
            </w:r>
          </w:p>
          <w:p w14:paraId="13E1EF3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-sadržaji iz svakodnevnog života i neposredne okoline (informacije).</w:t>
            </w:r>
          </w:p>
        </w:tc>
        <w:tc>
          <w:tcPr>
            <w:tcW w:w="4252" w:type="dxa"/>
            <w:tcBorders>
              <w:bottom w:val="single" w:color="auto" w:sz="4" w:space="0"/>
            </w:tcBorders>
          </w:tcPr>
          <w:p w14:paraId="568A1A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Učenik, u stvaralačkom procesu i izražavanju koristi likovni jezik tako da, uz poticaj i češće ponavljanje zadatka, kreće od doživljaja cjeline prema detalju </w:t>
            </w:r>
          </w:p>
          <w:p w14:paraId="3C9E736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Prepoznaje, ali ne razlikuje sve obvezne likovne </w:t>
            </w:r>
            <w:r>
              <w:rPr>
                <w:rFonts w:cstheme="minorHAnsi"/>
                <w:sz w:val="24"/>
                <w:szCs w:val="24"/>
              </w:rPr>
              <w:t xml:space="preserve">pojmove: </w:t>
            </w:r>
          </w:p>
          <w:p w14:paraId="25BE9AB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obrisne i gradbene crte</w:t>
            </w:r>
          </w:p>
          <w:p w14:paraId="1C4296A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zonsko stupnjevanje i kolorističko izražavanje</w:t>
            </w:r>
          </w:p>
          <w:p w14:paraId="419A70A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komplementarni kontrast</w:t>
            </w:r>
          </w:p>
          <w:p w14:paraId="5CE0139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otisak, matrica, pozitiv – negativ;</w:t>
            </w:r>
          </w:p>
          <w:p w14:paraId="1B5CD47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različite vrste površina (umjetnička djela i okolina).</w:t>
            </w:r>
          </w:p>
          <w:p w14:paraId="5350753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crtačka, slikarska i plastička tekstura</w:t>
            </w:r>
          </w:p>
          <w:p w14:paraId="50AD5C2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različiti odnosi mase i prostora; reljef.</w:t>
            </w:r>
          </w:p>
          <w:p w14:paraId="25B42A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Omjer veličina likova i masa; ravnoteža (simetrija i asimetrija).</w:t>
            </w:r>
          </w:p>
          <w:p w14:paraId="5054FC7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766C9C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Često je potrebno pojasniti likovni zadatak.</w:t>
            </w:r>
          </w:p>
          <w:p w14:paraId="4C0945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odgovara likovnim i vizualnim izražavanjem na neke od poticaja uz dodatna pojašnjenja likovnog zadatka:</w:t>
            </w:r>
          </w:p>
          <w:p w14:paraId="1AB72C1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- osobni sadržaji (osjećaji, misli, iskustva, stavovi i vrijednosti)</w:t>
            </w:r>
          </w:p>
          <w:p w14:paraId="0022913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- sadržaji likovne/vizualne umjetnosti ili sadržaji/izraz drugih umjetničkih područja</w:t>
            </w:r>
          </w:p>
          <w:p w14:paraId="5DA2463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- sadržaji iz svakodnevnog života i neposredne okoline (informacije).</w:t>
            </w: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</w:tcPr>
          <w:p w14:paraId="69750D2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Učenik, u stvaralačkom procesu i izražavanju koristi likovni jezik tako da kreće od doživljaja cjeline prema detalju, ali ponekad potrebno ponoviti i pojasniti likovni zadatak.</w:t>
            </w:r>
          </w:p>
          <w:p w14:paraId="4A85B3C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Većinom uspješno vlada likovnim pojmovima: </w:t>
            </w:r>
          </w:p>
          <w:p w14:paraId="064FD9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obrisne i gradbene crte</w:t>
            </w:r>
          </w:p>
          <w:p w14:paraId="2F81A2E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zonsko stupnjevanje i kolorističko izražavanje</w:t>
            </w:r>
          </w:p>
          <w:p w14:paraId="405BB4C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komplementarni kontrast</w:t>
            </w:r>
          </w:p>
          <w:p w14:paraId="64FBD8D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otisak, matrica, pozitiv – negativ;</w:t>
            </w:r>
          </w:p>
          <w:p w14:paraId="1932E2E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različite vrste površina (umjetnička djela i okolina).</w:t>
            </w:r>
          </w:p>
          <w:p w14:paraId="5036882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crtačka, slikarska i plastička tekstura</w:t>
            </w:r>
          </w:p>
          <w:p w14:paraId="57117B9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različiti odnosi mase i prostora; reljef.</w:t>
            </w:r>
          </w:p>
          <w:p w14:paraId="54BFE1C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Omjer veličina likova i masa; ravnoteža (simetrija i asimetrija).</w:t>
            </w:r>
          </w:p>
          <w:p w14:paraId="6046059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1B6B4BCB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Učenik odgovara likovnim i vizualnim izražavanjem na neke od  poticaja:</w:t>
            </w:r>
          </w:p>
          <w:p w14:paraId="7E476004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osobni sadržaji (osjećaji, misli, iskustva, stavovi i vrijednosti)</w:t>
            </w:r>
          </w:p>
          <w:p w14:paraId="133B7F4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sadržaji likovne/vizualne umjetnosti ili sadržaji/izraz drugih umjetničkih područja</w:t>
            </w:r>
          </w:p>
          <w:p w14:paraId="356C081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sadržaji iz svakodnevnog života i neposredne okoline (informacije).</w:t>
            </w:r>
          </w:p>
        </w:tc>
        <w:tc>
          <w:tcPr>
            <w:tcW w:w="4536" w:type="dxa"/>
            <w:tcBorders>
              <w:bottom w:val="single" w:color="auto" w:sz="4" w:space="0"/>
            </w:tcBorders>
          </w:tcPr>
          <w:p w14:paraId="3356DF5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Učenik, u stvaralačkom procesu i izražavanju koristi likovni jezik tako da kreće od doživljaja cjeline prema detalju.</w:t>
            </w:r>
          </w:p>
          <w:p w14:paraId="26C22F0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6883FD6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Slobodno vlada i primjenjuje znanja o obveznim likovnim pojmovima: </w:t>
            </w:r>
          </w:p>
          <w:p w14:paraId="2A9D54B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obrisne i gradbene crte</w:t>
            </w:r>
          </w:p>
          <w:p w14:paraId="70C8242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zonsko stupnjevanje i kolorističko izražavanje</w:t>
            </w:r>
          </w:p>
          <w:p w14:paraId="4920026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komplementarni kontrast</w:t>
            </w:r>
          </w:p>
          <w:p w14:paraId="6C08E43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otisak, matrica, pozitiv – negativ;</w:t>
            </w:r>
          </w:p>
          <w:p w14:paraId="2C28C23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različite vrste površina (umjetnička djela i okolina).</w:t>
            </w:r>
          </w:p>
          <w:p w14:paraId="32AE96F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crtačka, slikarska i plastička tekstura</w:t>
            </w:r>
          </w:p>
          <w:p w14:paraId="6EE227F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različiti odnosi mase i prostora; reljef.</w:t>
            </w:r>
          </w:p>
          <w:p w14:paraId="75233AD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Omjer veličina likova i masa; ravnoteža (simetrija i asimetrija).</w:t>
            </w:r>
          </w:p>
          <w:p w14:paraId="18E85B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251774C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Učenik odgovara likovnim i vizualnim izražavanjem na razne vrste poticaja:</w:t>
            </w:r>
          </w:p>
          <w:p w14:paraId="0FE71EC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osobni sadržaji (osjećaji, misli, iskustva, stavovi i vrijednosti)</w:t>
            </w:r>
          </w:p>
          <w:p w14:paraId="30948C2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sadržaji likovne/vizualne umjetnosti ili s sadržaji/izraz drugih umjetničkih područja</w:t>
            </w:r>
          </w:p>
          <w:p w14:paraId="0C7F33F9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sadržaji iz svakodnevnog života i neposredne okoline (informacije).</w:t>
            </w:r>
          </w:p>
        </w:tc>
      </w:tr>
      <w:tr w14:paraId="3D8B8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172B98E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A.3.2. Učenik demonstrira fine motoričke vještine upotrebom različitih</w:t>
            </w:r>
          </w:p>
          <w:p w14:paraId="48C15FF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likovnih materijala i postupaka u vlastitom likovnom izražavanju.</w:t>
            </w:r>
          </w:p>
        </w:tc>
      </w:tr>
      <w:tr w14:paraId="694B1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top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2C3D3693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  <w:tcBorders>
              <w:top w:val="single" w:color="auto" w:sz="4" w:space="0"/>
            </w:tcBorders>
          </w:tcPr>
          <w:p w14:paraId="436380AA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  <w:tcBorders>
              <w:top w:val="single" w:color="auto" w:sz="4" w:space="0"/>
            </w:tcBorders>
          </w:tcPr>
          <w:p w14:paraId="5B4BDCB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  <w:tcBorders>
              <w:top w:val="single" w:color="auto" w:sz="4" w:space="0"/>
            </w:tcBorders>
          </w:tcPr>
          <w:p w14:paraId="0860167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5227D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bottom w:val="nil"/>
              <w:right w:val="double" w:color="auto" w:sz="12" w:space="0"/>
            </w:tcBorders>
          </w:tcPr>
          <w:p w14:paraId="01711E5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istražuje likovne materijale i postupke u svrhu izrade likovnog uratka.</w:t>
            </w:r>
          </w:p>
        </w:tc>
        <w:tc>
          <w:tcPr>
            <w:tcW w:w="4252" w:type="dxa"/>
            <w:tcBorders>
              <w:bottom w:val="nil"/>
            </w:tcBorders>
          </w:tcPr>
          <w:p w14:paraId="6BA540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istražuje likovne materijale i postupke u svrhu izrade likovnog uratka postupno i prema unaprijed određenom planu rada uz pomoć učitelj/ice.</w:t>
            </w:r>
          </w:p>
        </w:tc>
        <w:tc>
          <w:tcPr>
            <w:tcW w:w="4111" w:type="dxa"/>
            <w:gridSpan w:val="3"/>
            <w:tcBorders>
              <w:bottom w:val="nil"/>
            </w:tcBorders>
          </w:tcPr>
          <w:p w14:paraId="3DAD18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istražuje likovne materijale i postupke u svrhu izrade likovnog uratka.</w:t>
            </w:r>
          </w:p>
        </w:tc>
        <w:tc>
          <w:tcPr>
            <w:tcW w:w="4536" w:type="dxa"/>
            <w:tcBorders>
              <w:bottom w:val="nil"/>
            </w:tcBorders>
          </w:tcPr>
          <w:p w14:paraId="3487A0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samostalno istražuje likovne materijale i postupke u svrhu izrade likovnog uratka te istraženo primjenjuje na svome likovnome radu.</w:t>
            </w:r>
          </w:p>
        </w:tc>
      </w:tr>
      <w:tr w14:paraId="7E8E3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bottom w:val="nil"/>
              <w:right w:val="double" w:color="auto" w:sz="12" w:space="0"/>
            </w:tcBorders>
          </w:tcPr>
          <w:p w14:paraId="2025FFE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izražava osobitosti likovnih materijala i postupaka pri njihovoj upotrebi.</w:t>
            </w:r>
          </w:p>
        </w:tc>
        <w:tc>
          <w:tcPr>
            <w:tcW w:w="4252" w:type="dxa"/>
            <w:tcBorders>
              <w:bottom w:val="nil"/>
            </w:tcBorders>
          </w:tcPr>
          <w:p w14:paraId="6CD776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osobitosti likovnih materijala i postupaka pri njihovoj upotrebi, ali ih, ovisno o tehnici, teže izražava.</w:t>
            </w:r>
          </w:p>
        </w:tc>
        <w:tc>
          <w:tcPr>
            <w:tcW w:w="4111" w:type="dxa"/>
            <w:gridSpan w:val="3"/>
            <w:tcBorders>
              <w:bottom w:val="nil"/>
            </w:tcBorders>
          </w:tcPr>
          <w:p w14:paraId="20F717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izražava osobitosti likovnih materijala i postupaka pri njihovoj upotrebi.</w:t>
            </w:r>
          </w:p>
        </w:tc>
        <w:tc>
          <w:tcPr>
            <w:tcW w:w="4536" w:type="dxa"/>
            <w:tcBorders>
              <w:bottom w:val="nil"/>
            </w:tcBorders>
          </w:tcPr>
          <w:p w14:paraId="424224E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Uočava, izražava i primjenjuje na svome likovnome radu osobitosti likovnih materijala i postupaka pri njihovoj upotrebi.</w:t>
            </w:r>
          </w:p>
        </w:tc>
      </w:tr>
      <w:tr w14:paraId="21AC2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bottom w:val="nil"/>
              <w:right w:val="double" w:color="auto" w:sz="12" w:space="0"/>
            </w:tcBorders>
          </w:tcPr>
          <w:p w14:paraId="37BC82B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Demonstrira fine motoričke vještine (preciznost, usredotočenje, koordinacija prstiju i očiju, sitni pokreti).</w:t>
            </w:r>
          </w:p>
        </w:tc>
        <w:tc>
          <w:tcPr>
            <w:tcW w:w="4252" w:type="dxa"/>
            <w:tcBorders>
              <w:bottom w:val="nil"/>
            </w:tcBorders>
          </w:tcPr>
          <w:p w14:paraId="55EE7CE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Teže demonstrira fine motoričke vještine (preciznost, usredotočenje, koordinacija prstiju i očiju, sitni pokreti).</w:t>
            </w:r>
          </w:p>
        </w:tc>
        <w:tc>
          <w:tcPr>
            <w:tcW w:w="4111" w:type="dxa"/>
            <w:gridSpan w:val="3"/>
            <w:tcBorders>
              <w:bottom w:val="nil"/>
            </w:tcBorders>
          </w:tcPr>
          <w:p w14:paraId="393B1B3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Demonstrira neke od  finih motoričkih vještina (preciznost, usredotočenje, koordinacija prstiju i očiju, sitni pokreti).</w:t>
            </w:r>
          </w:p>
        </w:tc>
        <w:tc>
          <w:tcPr>
            <w:tcW w:w="4536" w:type="dxa"/>
            <w:tcBorders>
              <w:bottom w:val="nil"/>
            </w:tcBorders>
          </w:tcPr>
          <w:p w14:paraId="2B8ED5C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Demonstrira fine motoričke vještine (preciznost, usredotočenje, koordinacija prstiju i očiju, sitni pokreti).</w:t>
            </w:r>
          </w:p>
        </w:tc>
      </w:tr>
      <w:tr w14:paraId="4D337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bottom w:val="nil"/>
              <w:right w:val="double" w:color="auto" w:sz="12" w:space="0"/>
            </w:tcBorders>
          </w:tcPr>
          <w:p w14:paraId="6B98F0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koristi neke od predloženih likovnih materijala i tehnika:</w:t>
            </w:r>
          </w:p>
          <w:p w14:paraId="6553343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Crtački: olovka, ugljen, kreda, flomaster, tuš, pero, kist, lavirani tuš.</w:t>
            </w:r>
          </w:p>
          <w:p w14:paraId="4405F3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334EC1B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Prostorno-plastički: glina, glinamol, papir-plastika, ambalaža i drugi materijali, aluminijska folija, kaširani papir (papir mâšé).</w:t>
            </w:r>
          </w:p>
          <w:p w14:paraId="68D182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Grafički: monotipija, kartonski tisak.</w:t>
            </w:r>
          </w:p>
        </w:tc>
        <w:tc>
          <w:tcPr>
            <w:tcW w:w="4252" w:type="dxa"/>
            <w:tcBorders>
              <w:bottom w:val="nil"/>
            </w:tcBorders>
          </w:tcPr>
          <w:p w14:paraId="6649D25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koristi samo neke od predloženih likovnih materijala i tehnika, s tim da uvijek preferira onu tehniku u kojoj se najslobodnije izrazi:</w:t>
            </w:r>
          </w:p>
          <w:p w14:paraId="3917DA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Crtački: olovka, ugljen, kreda, flomaster, tuš, pero, kist, lavirani tuš.</w:t>
            </w:r>
          </w:p>
          <w:p w14:paraId="632D151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538EB8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Prostorno-plastički: glina, glinamol, papir-plastika, ambalaža i drugi materijali, aluminijska folija, kaširani papir (papir mâšé).</w:t>
            </w:r>
          </w:p>
          <w:p w14:paraId="489A8B4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Grafički: monotipija, kartonski tisak.</w:t>
            </w:r>
          </w:p>
        </w:tc>
        <w:tc>
          <w:tcPr>
            <w:tcW w:w="4111" w:type="dxa"/>
            <w:gridSpan w:val="3"/>
            <w:tcBorders>
              <w:bottom w:val="nil"/>
            </w:tcBorders>
          </w:tcPr>
          <w:p w14:paraId="036253E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koristi neke od predloženih likovnih materijala i tehnika:</w:t>
            </w:r>
          </w:p>
          <w:p w14:paraId="6E38FF3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Crtački: olovka, ugljen, kreda, flomaster, tuš, pero, kist, lavirani tuš.</w:t>
            </w:r>
          </w:p>
          <w:p w14:paraId="1BA47D7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106ECC0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Prostorno-plastički: glina, glinamol, papir-plastika, ambalaža i drugi materijali, aluminijska folija, kaširani papir (papir mâšé).</w:t>
            </w:r>
          </w:p>
          <w:p w14:paraId="6BDD460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Grafički: monotipija, kartonski tisak.</w:t>
            </w:r>
          </w:p>
        </w:tc>
        <w:tc>
          <w:tcPr>
            <w:tcW w:w="4536" w:type="dxa"/>
            <w:tcBorders>
              <w:bottom w:val="nil"/>
            </w:tcBorders>
          </w:tcPr>
          <w:p w14:paraId="04264A6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koristi većinu predloženih likovnih materijala i tehnika sigurno i lako:</w:t>
            </w:r>
          </w:p>
          <w:p w14:paraId="4C004AF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Crtački: olovka, ugljen, kreda, flomaster, tuš, pero, kist, lavirani tuš.</w:t>
            </w:r>
          </w:p>
          <w:p w14:paraId="4249F7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2AB13A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Prostorno-plastički: glina, glinamol, papir-plastika, ambalaža i drugi materijali, aluminijska folija, kaširani papir (papir mâšé).</w:t>
            </w:r>
          </w:p>
          <w:p w14:paraId="22D47F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Grafički: monotipija, kartonski tisak.</w:t>
            </w:r>
          </w:p>
        </w:tc>
      </w:tr>
      <w:tr w14:paraId="6D215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shd w:val="clear" w:color="auto" w:fill="C5E0B3" w:themeFill="accent6" w:themeFillTint="66"/>
          </w:tcPr>
          <w:p w14:paraId="3084AE59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>
              <w:rPr>
                <w:rFonts w:ascii="Calibri" w:hAnsi="Calibri" w:eastAsia="Times New Roman" w:cs="Calibri"/>
                <w:b/>
                <w:sz w:val="28"/>
                <w:szCs w:val="28"/>
                <w:lang w:eastAsia="hr-HR"/>
              </w:rPr>
              <w:t>OŠ LK A.3.3. Učenik u vlastitome radu koristi tehničke i izražajne mogućnosti novomedijskih tehnologija.</w:t>
            </w:r>
          </w:p>
        </w:tc>
      </w:tr>
      <w:tr w14:paraId="35625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372" w:type="dxa"/>
            <w:gridSpan w:val="2"/>
            <w:tcBorders>
              <w:top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00CE659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8647" w:type="dxa"/>
            <w:gridSpan w:val="4"/>
            <w:tcBorders>
              <w:top w:val="single" w:color="auto" w:sz="4" w:space="0"/>
            </w:tcBorders>
          </w:tcPr>
          <w:p w14:paraId="7BEC5AB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78F91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2" w:type="dxa"/>
            <w:gridSpan w:val="2"/>
            <w:tcBorders>
              <w:bottom w:val="nil"/>
              <w:right w:val="double" w:color="auto" w:sz="12" w:space="0"/>
            </w:tcBorders>
          </w:tcPr>
          <w:p w14:paraId="182E7C3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digitalnim fotoaparatom (digitalni fotoaparat, pametni telefon) bilježi sadržaje iz okoline koristeći znanje o likovnom jeziku i drugim likovnim pojmovima; zabilježene sadržaje interpretira u vlastitom vizualnom radu.</w:t>
            </w:r>
          </w:p>
        </w:tc>
        <w:tc>
          <w:tcPr>
            <w:tcW w:w="8647" w:type="dxa"/>
            <w:gridSpan w:val="4"/>
            <w:tcBorders>
              <w:bottom w:val="nil"/>
            </w:tcBorders>
          </w:tcPr>
          <w:p w14:paraId="245C035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14:paraId="35C22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shd w:val="clear" w:color="auto" w:fill="C5E0B3" w:themeFill="accent6" w:themeFillTint="66"/>
          </w:tcPr>
          <w:p w14:paraId="5D162625">
            <w:pPr>
              <w:spacing w:after="0" w:line="240" w:lineRule="auto"/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DOŽIVLJAJ I KRITIČKI STAV</w:t>
            </w:r>
          </w:p>
        </w:tc>
      </w:tr>
      <w:tr w14:paraId="1DC52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shd w:val="clear" w:color="auto" w:fill="DEEAF6" w:themeFill="accent1" w:themeFillTint="33"/>
          </w:tcPr>
          <w:p w14:paraId="75A94929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cstheme="minorHAnsi"/>
                <w:b/>
                <w:sz w:val="28"/>
                <w:szCs w:val="28"/>
              </w:rPr>
              <w:t>ISHOD: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OŠ LK B.3.1. Učenik povezuje likovno i vizualno umjetničko djelo s osobnim doživljajem, </w:t>
            </w:r>
          </w:p>
          <w:p w14:paraId="7A68B3C2">
            <w:pPr>
              <w:spacing w:after="0" w:line="240" w:lineRule="auto"/>
              <w:ind w:left="82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likovnim jezikom i tematskim sadržajem djela</w:t>
            </w:r>
          </w:p>
        </w:tc>
      </w:tr>
      <w:tr w14:paraId="01529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top w:val="nil"/>
              <w:right w:val="double" w:color="auto" w:sz="12" w:space="0"/>
            </w:tcBorders>
            <w:shd w:val="clear" w:color="auto" w:fill="DEEAF6" w:themeFill="accent1" w:themeFillTint="33"/>
          </w:tcPr>
          <w:p w14:paraId="2EB8EB79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072E601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</w:tcPr>
          <w:p w14:paraId="192A2C9A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01FDD149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24A45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bottom w:val="single" w:color="auto" w:sz="4" w:space="0"/>
              <w:right w:val="double" w:color="auto" w:sz="12" w:space="0"/>
            </w:tcBorders>
          </w:tcPr>
          <w:p w14:paraId="44E1EB0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 i povezuje ga s vlastitim osjećajima, iskustvom i mislima.</w:t>
            </w:r>
          </w:p>
          <w:p w14:paraId="2A037C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62DCB88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48A046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24F8793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  <w:tc>
          <w:tcPr>
            <w:tcW w:w="4252" w:type="dxa"/>
            <w:tcBorders>
              <w:bottom w:val="single" w:color="auto" w:sz="4" w:space="0"/>
            </w:tcBorders>
          </w:tcPr>
          <w:p w14:paraId="3D8A1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djela. Učenik opisuje</w:t>
            </w:r>
          </w:p>
          <w:p w14:paraId="7534765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78AD7E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6B4F2FF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</w:tcPr>
          <w:p w14:paraId="32E8BD3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 i povezuje ga s vlastitim osjećajima, iskustvom i mislima.</w:t>
            </w:r>
          </w:p>
          <w:p w14:paraId="25B024E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71855D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245499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57EFC94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color="auto" w:sz="4" w:space="0"/>
            </w:tcBorders>
          </w:tcPr>
          <w:p w14:paraId="5C989E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 i povezuje ga s vlastitim osjećajima, iskustvom i mislima.</w:t>
            </w:r>
          </w:p>
          <w:p w14:paraId="660C0CF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775B44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03589B5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250AA68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</w:tr>
      <w:tr w14:paraId="517A0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bottom w:val="single" w:color="auto" w:sz="4" w:space="0"/>
              <w:right w:val="double" w:color="auto" w:sz="12" w:space="0"/>
            </w:tcBorders>
          </w:tcPr>
          <w:p w14:paraId="637F188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upoznaje i istražuje djela i različite oblike izražavanja iz područja likovnih i vizualnih umjetnosti: crtež, slikarstvo, skulptura, grafika, vizualne komunikacije i dizajn (grafički, produkt), arhitektura i urbanizam, fotografija, film (igrani i animirani), strip, scenografija, kostimografija, lutkarstvo.</w:t>
            </w:r>
          </w:p>
        </w:tc>
        <w:tc>
          <w:tcPr>
            <w:tcW w:w="4252" w:type="dxa"/>
            <w:tcBorders>
              <w:bottom w:val="single" w:color="auto" w:sz="4" w:space="0"/>
            </w:tcBorders>
          </w:tcPr>
          <w:p w14:paraId="1DDDA3B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upoznaje djela i različite oblike izražavanja iz područja likovnih i vizualnih umjetnosti: crtež, slikarstvo, skulptura, grafika, vizualne komunikacije i dizajn (grafički, produkt), arhitektura i urbanizam, fotografija, film (igrani i animirani), strip, scenografija, kostimografija, lutkarstvo.</w:t>
            </w: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</w:tcPr>
          <w:p w14:paraId="5ADDF8FF">
            <w:pPr>
              <w:spacing w:after="0" w:line="240" w:lineRule="auto"/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upoznaje i istražuje djela i različite oblike izražavanja iz područja likovnih i vizualnih umjetnosti: crtež, slikarstvo, skulptura, grafika, vizualne komunikacije i dizajn (grafički, produkt), arhitektura i urbanizam, fotografija, film (igrani i animirani), strip, scenografija, kostimografija, lutkarstvo.</w:t>
            </w:r>
          </w:p>
        </w:tc>
        <w:tc>
          <w:tcPr>
            <w:tcW w:w="4536" w:type="dxa"/>
            <w:tcBorders>
              <w:bottom w:val="single" w:color="auto" w:sz="4" w:space="0"/>
            </w:tcBorders>
          </w:tcPr>
          <w:p w14:paraId="10A628D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upoznaje, razlikuje i istražuje djela i različite oblike izražavanja iz područja likovnih i vizualnih umjetnosti: crtež, slikarstvo, skulptura, grafika, vizualne komunikacije i dizajn (grafički, produkt), arhitektura i urbanizam, fotografija, film (igrani i animirani), strip, scenografija, kostimografija, lutkarstvo.</w:t>
            </w:r>
          </w:p>
        </w:tc>
      </w:tr>
      <w:tr w14:paraId="6FA8A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5092781E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OŠ LK B.3.2. Učenik uspoređuje svoj likovni ili vizualni rad i radove drugih učenika te </w:t>
            </w:r>
          </w:p>
          <w:p w14:paraId="1E16E700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opisuje svoj rad i vlastiti doživljaj stvaranja.</w:t>
            </w:r>
          </w:p>
        </w:tc>
      </w:tr>
      <w:tr w14:paraId="70A3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top w:val="nil"/>
              <w:right w:val="double" w:color="auto" w:sz="12" w:space="0"/>
            </w:tcBorders>
            <w:shd w:val="clear" w:color="auto" w:fill="DEEAF6" w:themeFill="accent1" w:themeFillTint="33"/>
          </w:tcPr>
          <w:p w14:paraId="33D4547C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73B9DD01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</w:tcPr>
          <w:p w14:paraId="3C6065E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5932102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3856C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bottom w:val="single" w:color="auto" w:sz="4" w:space="0"/>
              <w:right w:val="double" w:color="auto" w:sz="12" w:space="0"/>
            </w:tcBorders>
          </w:tcPr>
          <w:p w14:paraId="4ED41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likovnog jezika, likovnih materijala, tehnika i/ili vizualnih medija, prikaza motiva te originalnosti i uloženog truda.</w:t>
            </w:r>
          </w:p>
        </w:tc>
        <w:tc>
          <w:tcPr>
            <w:tcW w:w="4252" w:type="dxa"/>
            <w:tcBorders>
              <w:bottom w:val="single" w:color="auto" w:sz="4" w:space="0"/>
            </w:tcBorders>
          </w:tcPr>
          <w:p w14:paraId="3A1ED4F5">
            <w:pPr>
              <w:spacing w:after="0" w:line="240" w:lineRule="auto"/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prepoznaje, ali teže samostalno opisuje likovne ili vizualne radove prema kriterijima: likovnog jezika, likovnih materijala, tehnika i/ili vizualnih medija, prikaza motiva te originalnosti i uloženog truda.</w:t>
            </w: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</w:tcPr>
          <w:p w14:paraId="4BDC91EC">
            <w:pPr>
              <w:spacing w:after="0" w:line="240" w:lineRule="auto"/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opisuje likovne ili vizualne radove prema kriterijima: likovnog jezika, likovnih materijala, tehnika i/ili vizualnih medija, prikaza motiva te originalnosti i uloženog truda.</w:t>
            </w:r>
          </w:p>
        </w:tc>
        <w:tc>
          <w:tcPr>
            <w:tcW w:w="4536" w:type="dxa"/>
            <w:tcBorders>
              <w:bottom w:val="single" w:color="auto" w:sz="4" w:space="0"/>
            </w:tcBorders>
          </w:tcPr>
          <w:p w14:paraId="67D6D92F">
            <w:pPr>
              <w:spacing w:after="0" w:line="240" w:lineRule="auto"/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likovnog jezika, likovnih materijala, tehnika i/ili vizualnih medija, prikaza motiva te originalnosti i uloženog truda.</w:t>
            </w:r>
          </w:p>
        </w:tc>
      </w:tr>
      <w:tr w14:paraId="3993B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bottom w:val="single" w:color="auto" w:sz="4" w:space="0"/>
              <w:right w:val="double" w:color="auto" w:sz="12" w:space="0"/>
            </w:tcBorders>
          </w:tcPr>
          <w:p w14:paraId="732CABE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poticaj, osnovnu ideju/poruku te način na koji je to izraženo u likovnom ili vizualnom radu.</w:t>
            </w:r>
          </w:p>
        </w:tc>
        <w:tc>
          <w:tcPr>
            <w:tcW w:w="4252" w:type="dxa"/>
            <w:tcBorders>
              <w:bottom w:val="single" w:color="auto" w:sz="4" w:space="0"/>
            </w:tcBorders>
          </w:tcPr>
          <w:p w14:paraId="13CBEBA7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poticaj, osnovnu ideju/poruku te način na koji je to izraženo u likovnom ili vizualnom radu.</w:t>
            </w: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</w:tcPr>
          <w:p w14:paraId="111C2FA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razlikuje poticaj, osnovnu ideju/poruku te način na koji je to izraženo u likovnom ili vizualnom radu.</w:t>
            </w:r>
          </w:p>
        </w:tc>
        <w:tc>
          <w:tcPr>
            <w:tcW w:w="4536" w:type="dxa"/>
            <w:tcBorders>
              <w:bottom w:val="single" w:color="auto" w:sz="4" w:space="0"/>
            </w:tcBorders>
          </w:tcPr>
          <w:p w14:paraId="015BCB52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prepoznaje, razlikuje i objašnjava poticaj, osnovnu ideju/poruku te način na koji je to izraženo u likovnom ili vizualnom radu.</w:t>
            </w:r>
          </w:p>
        </w:tc>
      </w:tr>
      <w:tr w14:paraId="237A4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bottom w:val="single" w:color="auto" w:sz="4" w:space="0"/>
              <w:right w:val="double" w:color="auto" w:sz="12" w:space="0"/>
            </w:tcBorders>
          </w:tcPr>
          <w:p w14:paraId="10197E3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da je zadani likovni/vizualni problem moguće riješiti na više (jednakovrijednih) načina.</w:t>
            </w:r>
          </w:p>
        </w:tc>
        <w:tc>
          <w:tcPr>
            <w:tcW w:w="4252" w:type="dxa"/>
            <w:tcBorders>
              <w:bottom w:val="single" w:color="auto" w:sz="4" w:space="0"/>
            </w:tcBorders>
          </w:tcPr>
          <w:p w14:paraId="3D0B44AB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pojašnjenja ili primjere, učenik prepoznaje da je zadani likovni/vizualni problem moguće riješiti na više (jednakovrijednih) načina.</w:t>
            </w: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</w:tcPr>
          <w:p w14:paraId="74561B4D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da je zadani likovni/vizualni problem moguće riješiti na više (jednakovrijednih) načina.</w:t>
            </w:r>
          </w:p>
        </w:tc>
        <w:tc>
          <w:tcPr>
            <w:tcW w:w="4536" w:type="dxa"/>
            <w:tcBorders>
              <w:bottom w:val="single" w:color="auto" w:sz="4" w:space="0"/>
            </w:tcBorders>
          </w:tcPr>
          <w:p w14:paraId="2662483E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objašnjava način na koji  je zadani likovni/vizualni problem moguće riješiti (na više (jednakovrijednih) načina).</w:t>
            </w:r>
          </w:p>
        </w:tc>
      </w:tr>
      <w:tr w14:paraId="5B7B3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  <w:gridSpan w:val="4"/>
            <w:tcBorders>
              <w:bottom w:val="single" w:color="auto" w:sz="4" w:space="0"/>
              <w:right w:val="double" w:color="auto" w:sz="12" w:space="0"/>
            </w:tcBorders>
          </w:tcPr>
          <w:p w14:paraId="724B9E2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razinu osobnog zadovoljstva u stvaralačkom procesu.</w:t>
            </w:r>
          </w:p>
        </w:tc>
        <w:tc>
          <w:tcPr>
            <w:tcW w:w="7088" w:type="dxa"/>
            <w:gridSpan w:val="2"/>
            <w:tcBorders>
              <w:bottom w:val="single" w:color="auto" w:sz="4" w:space="0"/>
            </w:tcBorders>
          </w:tcPr>
          <w:p w14:paraId="59FF271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2FCD2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bottom w:val="single" w:color="auto" w:sz="4" w:space="0"/>
            </w:tcBorders>
            <w:shd w:val="clear" w:color="auto" w:fill="C5E0B3" w:themeFill="accent6" w:themeFillTint="66"/>
          </w:tcPr>
          <w:p w14:paraId="21C8CF80">
            <w:pPr>
              <w:spacing w:after="0" w:line="240" w:lineRule="auto"/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UMJETNOST U KONTEKSTU</w:t>
            </w:r>
          </w:p>
        </w:tc>
      </w:tr>
      <w:tr w14:paraId="7B5CF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left w:val="single" w:color="auto" w:sz="4" w:space="0"/>
            </w:tcBorders>
            <w:shd w:val="clear" w:color="auto" w:fill="DEEAF6" w:themeFill="accent1" w:themeFillTint="33"/>
          </w:tcPr>
          <w:p w14:paraId="6D92DF7C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C.3.1. Učenik opisuje i u likovnom i vizualnom radu interpretira</w:t>
            </w:r>
          </w:p>
          <w:p w14:paraId="3694891D">
            <w:pPr>
              <w:spacing w:after="0" w:line="240" w:lineRule="auto"/>
              <w:ind w:left="82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kako je oblikovanje vizualne okoline s aktivnostima i namjenama koji se u njoj odvijaju.</w:t>
            </w:r>
          </w:p>
        </w:tc>
      </w:tr>
      <w:tr w14:paraId="7F50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top w:val="nil"/>
              <w:right w:val="double" w:color="auto" w:sz="12" w:space="0"/>
            </w:tcBorders>
            <w:shd w:val="clear" w:color="auto" w:fill="DEEAF6" w:themeFill="accent1" w:themeFillTint="33"/>
          </w:tcPr>
          <w:p w14:paraId="391AA915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4ED555C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</w:tcPr>
          <w:p w14:paraId="6948BA9C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262BF48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74DD8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120" w:type="dxa"/>
            <w:tcBorders>
              <w:bottom w:val="single" w:color="auto" w:sz="6" w:space="0"/>
              <w:right w:val="double" w:color="auto" w:sz="12" w:space="0"/>
            </w:tcBorders>
          </w:tcPr>
          <w:p w14:paraId="40D68DF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0211E6A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uočava na koji način prostornom organizacijom čovjek prilagođava svoj životni prostor prirodnom okruženju i svojim potrebama te izrađuje plan i maketu mjesta</w:t>
            </w:r>
          </w:p>
          <w:p w14:paraId="03CA29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opisuje i u crtežu ili maketi varira oblik uporabnog predmeta vezanog uz njegove svakodnevne aktivnosti</w:t>
            </w:r>
          </w:p>
          <w:p w14:paraId="56C3198F">
            <w:pPr>
              <w:tabs>
                <w:tab w:val="left" w:pos="1030"/>
                <w:tab w:val="left" w:pos="1172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razlikuje različite tipove vizualnih znakova u okolini te oblikuje piktograme vezane uz svakodnevne aktivnosti.</w:t>
            </w:r>
          </w:p>
        </w:tc>
        <w:tc>
          <w:tcPr>
            <w:tcW w:w="4252" w:type="dxa"/>
            <w:tcBorders>
              <w:bottom w:val="single" w:color="auto" w:sz="4" w:space="0"/>
            </w:tcBorders>
          </w:tcPr>
          <w:p w14:paraId="7C8BB01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15EFED0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uočava na koji način prostornom organizacijom čovjek prilagođava svoj životni prostor prirodnom okruženju i svojim potrebama te izrađuje plan i maketu mjesta</w:t>
            </w:r>
          </w:p>
          <w:p w14:paraId="15B8783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</w:tcPr>
          <w:p w14:paraId="3064EAB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2A8CC7F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uočava na koji način prostornom organizacijom čovjek prilagođava svoj životni prostor prirodnom okruženju i svojim potrebama te izrađuje plan i maketu mjesta</w:t>
            </w:r>
          </w:p>
          <w:p w14:paraId="75E040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opisuje i u crtežu ili maketi varira oblik uporabnog predmeta vezanog uz njegove svakodnevne aktivnosti</w:t>
            </w:r>
          </w:p>
          <w:p w14:paraId="60E893B8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color="auto" w:sz="4" w:space="0"/>
            </w:tcBorders>
          </w:tcPr>
          <w:p w14:paraId="372A50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6D6109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uočava na koji način prostornom organizacijom čovjek prilagođava svoj životni prostor prirodnom okruženju i svojim potrebama te izrađuje plan i maketu mjesta</w:t>
            </w:r>
          </w:p>
          <w:p w14:paraId="3EC4388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opisuje i u crtežu ili maketi varira oblik uporabnog predmeta vezanog uz njegove svakodnevne aktivnosti</w:t>
            </w:r>
          </w:p>
          <w:p w14:paraId="5577ED75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razlikuje različite tipove vizualnih znakova u okolini te oblikuje piktograme vezane uz svakodnevne aktivnosti.</w:t>
            </w:r>
          </w:p>
        </w:tc>
      </w:tr>
      <w:tr w14:paraId="1797B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120" w:type="dxa"/>
            <w:tcBorders>
              <w:bottom w:val="single" w:color="auto" w:sz="6" w:space="0"/>
              <w:right w:val="double" w:color="auto" w:sz="12" w:space="0"/>
            </w:tcBorders>
          </w:tcPr>
          <w:p w14:paraId="33F9424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Sadržaji za ostvarivanje odgojno-obrazovnih ishoda</w:t>
            </w:r>
          </w:p>
          <w:p w14:paraId="7C7002B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 i maketa mjesta. Tlocrt.</w:t>
            </w:r>
          </w:p>
          <w:p w14:paraId="6FE427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Zaštitni znak, piktogram.</w:t>
            </w:r>
          </w:p>
        </w:tc>
        <w:tc>
          <w:tcPr>
            <w:tcW w:w="4252" w:type="dxa"/>
            <w:tcBorders>
              <w:bottom w:val="single" w:color="auto" w:sz="4" w:space="0"/>
            </w:tcBorders>
          </w:tcPr>
          <w:p w14:paraId="1EC3D5E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 plan i maketu mjesta i tlocrt.</w:t>
            </w: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</w:tcPr>
          <w:p w14:paraId="59F1527C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plan i maketu mjesta, tlocrt, zaštitni znak i piktogram.</w:t>
            </w:r>
          </w:p>
        </w:tc>
        <w:tc>
          <w:tcPr>
            <w:tcW w:w="4536" w:type="dxa"/>
            <w:tcBorders>
              <w:bottom w:val="single" w:color="auto" w:sz="4" w:space="0"/>
            </w:tcBorders>
          </w:tcPr>
          <w:p w14:paraId="19F643E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i primjenjuje na radu plan i maketu mjesta, tlocrt, zaštitni znak i piktogram.</w:t>
            </w:r>
          </w:p>
        </w:tc>
      </w:tr>
      <w:tr w14:paraId="3AD7D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DEEAF6" w:themeFill="accent1" w:themeFillTint="33"/>
          </w:tcPr>
          <w:p w14:paraId="71613EA9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cstheme="minorHAnsi"/>
                <w:b/>
                <w:sz w:val="28"/>
              </w:rPr>
              <w:t xml:space="preserve">ISHOD: 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C.3.2. Učenik povezuje umjetničko djelo</w:t>
            </w:r>
          </w:p>
          <w:p w14:paraId="3AADDBD8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s iskustvima iz svakodnevnog života te društvenim kontekstom.</w:t>
            </w:r>
          </w:p>
        </w:tc>
      </w:tr>
      <w:tr w14:paraId="1C951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tcBorders>
              <w:top w:val="nil"/>
              <w:right w:val="double" w:color="auto" w:sz="12" w:space="0"/>
            </w:tcBorders>
            <w:shd w:val="clear" w:color="auto" w:fill="DEEAF6" w:themeFill="accent1" w:themeFillTint="33"/>
          </w:tcPr>
          <w:p w14:paraId="0464A399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12899" w:type="dxa"/>
            <w:gridSpan w:val="5"/>
          </w:tcPr>
          <w:p w14:paraId="23E4D390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14:paraId="581D5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1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1DB5723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vizualni ili likovni i tematski sadržaj određenog umjetničkog djela s iskustvom iz svakodnevnog života.</w:t>
            </w:r>
          </w:p>
        </w:tc>
        <w:tc>
          <w:tcPr>
            <w:tcW w:w="793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</w:tcPr>
          <w:p w14:paraId="64C441CD">
            <w:pPr>
              <w:spacing w:after="0" w:line="240" w:lineRule="auto"/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190BF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1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584992A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imenuje različite sadržaje iz svoje okoline kao produkt likovnog ili vizualnog izražavanja (umjetničko djelo; spomenik).</w:t>
            </w:r>
          </w:p>
        </w:tc>
        <w:tc>
          <w:tcPr>
            <w:tcW w:w="793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</w:tcPr>
          <w:p w14:paraId="198B88C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5885C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1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77A64871">
            <w:pPr>
              <w:spacing w:after="0" w:line="240" w:lineRule="auto"/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opisuje djela kulturne i tradicijske baštine svog kraja te nalazi poveznice s društvenim kontekstom u kojem su nastala (način života, običaji).</w:t>
            </w:r>
          </w:p>
        </w:tc>
        <w:tc>
          <w:tcPr>
            <w:tcW w:w="793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</w:tcPr>
          <w:p w14:paraId="4FB471F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1EF6B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1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6CC8E0F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navodi i opisuje konkretne primjere različitih oblika umjetničkog izražavanja, vrsta zanimanja, kulturno umjetničkih događanja, institucija i spomenika iz svog kraja s područja likovnih i vizualnih umjetnosti koje je posjetio i /ili upoznao (učitelj odabire od preporučenih sadržaja one koji su dostupni učenicima: muzej, galerija, izložba, radionica, kazalište).</w:t>
            </w:r>
          </w:p>
        </w:tc>
        <w:tc>
          <w:tcPr>
            <w:tcW w:w="793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</w:tcPr>
          <w:p w14:paraId="716A882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</w:tbl>
    <w:p w14:paraId="2075499F">
      <w:pPr>
        <w:rPr>
          <w:rFonts w:cstheme="minorHAnsi"/>
          <w:sz w:val="24"/>
        </w:rPr>
      </w:pPr>
    </w:p>
    <w:p w14:paraId="4E962B7B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dodani element: </w:t>
      </w:r>
      <w:r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Style w:val="3"/>
        <w:tblW w:w="16161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3598"/>
        <w:gridCol w:w="3034"/>
        <w:gridCol w:w="3034"/>
        <w:gridCol w:w="3034"/>
        <w:gridCol w:w="3035"/>
      </w:tblGrid>
      <w:tr w14:paraId="4F505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shd w:val="clear" w:color="auto" w:fill="A8D08D" w:themeFill="accent6" w:themeFillTint="99"/>
          </w:tcPr>
          <w:p w14:paraId="720EFBE6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98" w:type="dxa"/>
            <w:shd w:val="clear" w:color="auto" w:fill="A8D08D" w:themeFill="accent6" w:themeFillTint="99"/>
          </w:tcPr>
          <w:p w14:paraId="43E2AE2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6A40C57E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51E5681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68D7E53E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3D826B04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ODLIČAN</w:t>
            </w:r>
          </w:p>
        </w:tc>
      </w:tr>
      <w:tr w14:paraId="44CF6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426" w:type="dxa"/>
            <w:textDirection w:val="btLr"/>
          </w:tcPr>
          <w:p w14:paraId="590FC64B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598" w:type="dxa"/>
          </w:tcPr>
          <w:p w14:paraId="4D371904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Učenik ne želi raditi ni kao dio skupine niti samostalno čak ni uz stalne poticaje.</w:t>
            </w:r>
          </w:p>
          <w:p w14:paraId="55C78C43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635CD010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Neprimjereno se ponaša u radu.</w:t>
            </w:r>
          </w:p>
          <w:p w14:paraId="7AA6DAF6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odgovornost za svoje ponašanje.</w:t>
            </w:r>
          </w:p>
          <w:p w14:paraId="6E2B17CF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Nema razvijen osjećaj samokontrole.</w:t>
            </w:r>
          </w:p>
          <w:p w14:paraId="063D5790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nosi pribor za rad.</w:t>
            </w:r>
          </w:p>
          <w:p w14:paraId="7A54F06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reagira na opomenu.</w:t>
            </w:r>
          </w:p>
          <w:p w14:paraId="27985985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1AAF0794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47C27E73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0B79D8C6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Neprimjereno se ponaša u radu.</w:t>
            </w:r>
          </w:p>
          <w:p w14:paraId="5C7DD2F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Odgovornost za svoje ponašanje prihvaća nakon intervencije učitelja.</w:t>
            </w:r>
          </w:p>
          <w:p w14:paraId="6213EA15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31080DFB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brine o urednosti pribora za rad i na sat ga nosi povremeno.</w:t>
            </w:r>
          </w:p>
          <w:p w14:paraId="1D0D34A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 reagira na opomenu.</w:t>
            </w:r>
          </w:p>
          <w:p w14:paraId="1EAA5FD6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092B54CF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5E61484A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Prihvaća samo određena postavljena pravila.</w:t>
            </w:r>
          </w:p>
          <w:p w14:paraId="551F1679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24AE06C3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43462268">
            <w:pPr>
              <w:pStyle w:val="21"/>
              <w:rPr>
                <w:rFonts w:cs="Calibri"/>
                <w:szCs w:val="22"/>
              </w:rPr>
            </w:pPr>
          </w:p>
          <w:p w14:paraId="74A2D921">
            <w:pPr>
              <w:pStyle w:val="21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2670AFAA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4C0FDD28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Prihvaća i slijedi postavljena pravila pri radu uz manje opomene i podsjećanja.</w:t>
            </w:r>
          </w:p>
          <w:p w14:paraId="17A41D8D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0E0E71C8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nosi pribor za rad.</w:t>
            </w:r>
          </w:p>
          <w:p w14:paraId="5B2FCB0A">
            <w:pPr>
              <w:pStyle w:val="21"/>
              <w:rPr>
                <w:rFonts w:cs="Calibri"/>
                <w:szCs w:val="22"/>
              </w:rPr>
            </w:pPr>
          </w:p>
          <w:p w14:paraId="538D201D">
            <w:pPr>
              <w:pStyle w:val="21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6815DE6F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2A0349BA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Prihvaća i slijedi postavljena pravila pri radu.</w:t>
            </w:r>
          </w:p>
          <w:p w14:paraId="5B3032A5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6313C81E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08F1217C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prihvaća i odrađuje na vrijeme, kvalitetno i sa entuzijazmom.</w:t>
            </w:r>
          </w:p>
          <w:p w14:paraId="259E4BD2">
            <w:pPr>
              <w:pStyle w:val="21"/>
              <w:rPr>
                <w:rFonts w:cs="Calibri"/>
                <w:szCs w:val="22"/>
              </w:rPr>
            </w:pPr>
          </w:p>
        </w:tc>
      </w:tr>
    </w:tbl>
    <w:p w14:paraId="6481CFE6">
      <w:pPr>
        <w:rPr>
          <w:rFonts w:cstheme="minorHAnsi"/>
        </w:rPr>
      </w:pPr>
    </w:p>
    <w:p w14:paraId="761EC0C6">
      <w:pPr>
        <w:rPr>
          <w:rFonts w:cstheme="minorHAnsi"/>
        </w:rPr>
      </w:pPr>
    </w:p>
    <w:p w14:paraId="7E478564">
      <w:pPr>
        <w:rPr>
          <w:rFonts w:cstheme="minorHAnsi"/>
        </w:rPr>
      </w:pPr>
    </w:p>
    <w:p w14:paraId="4B008116">
      <w:pPr>
        <w:rPr>
          <w:rFonts w:cstheme="minorHAnsi"/>
        </w:rPr>
      </w:pPr>
    </w:p>
    <w:p w14:paraId="5658A07E">
      <w:pPr>
        <w:rPr>
          <w:rFonts w:cstheme="minorHAnsi"/>
        </w:rPr>
      </w:pPr>
    </w:p>
    <w:p w14:paraId="50BF0FB6">
      <w:pPr>
        <w:rPr>
          <w:rFonts w:cstheme="minorHAnsi"/>
        </w:rPr>
      </w:pPr>
    </w:p>
    <w:p w14:paraId="15461238">
      <w:pPr>
        <w:rPr>
          <w:rFonts w:cstheme="minorHAnsi"/>
        </w:rPr>
      </w:pPr>
    </w:p>
    <w:p w14:paraId="442BB2D4">
      <w:pPr>
        <w:rPr>
          <w:rFonts w:cstheme="minorHAnsi"/>
        </w:rPr>
      </w:pPr>
    </w:p>
    <w:p w14:paraId="31DD3C3B">
      <w:pPr>
        <w:rPr>
          <w:rFonts w:cstheme="minorHAnsi"/>
        </w:rPr>
      </w:pPr>
    </w:p>
    <w:p w14:paraId="6311983F">
      <w:pPr>
        <w:rPr>
          <w:rFonts w:cstheme="minorHAnsi"/>
        </w:rPr>
      </w:pPr>
    </w:p>
    <w:p w14:paraId="350AA618">
      <w:pPr>
        <w:ind w:left="-426" w:firstLine="426"/>
        <w:jc w:val="center"/>
        <w:rPr>
          <w:rFonts w:cstheme="minorHAnsi"/>
          <w:b/>
          <w:sz w:val="40"/>
        </w:rPr>
      </w:pPr>
      <w:r>
        <w:rPr>
          <w:rFonts w:cstheme="minorHAnsi"/>
          <w:b/>
          <w:sz w:val="28"/>
        </w:rPr>
        <w:t>NASTAVNI PREDMET:  GLAZBENA KULTURA</w:t>
      </w:r>
    </w:p>
    <w:p w14:paraId="7492AE33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>
        <w:rPr>
          <w:rFonts w:eastAsia="Times New Roman" w:cstheme="minorHAnsi"/>
          <w:b/>
          <w:i/>
          <w:sz w:val="32"/>
          <w:szCs w:val="24"/>
          <w:lang w:eastAsia="hr-HR"/>
        </w:rPr>
        <w:t>Domene</w:t>
      </w:r>
    </w:p>
    <w:p w14:paraId="3A31BF4E">
      <w:pPr>
        <w:pStyle w:val="11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Domena A: Slušanje i upoznavanje glazbe</w:t>
      </w:r>
    </w:p>
    <w:p w14:paraId="2184F904">
      <w:pPr>
        <w:pStyle w:val="11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Domena B: Izražavanje glazbom i uz glazbu</w:t>
      </w:r>
    </w:p>
    <w:p w14:paraId="0551D497">
      <w:pPr>
        <w:pStyle w:val="11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Domena C: Glazba u kontekstu</w:t>
      </w:r>
    </w:p>
    <w:p w14:paraId="2F5558EF">
      <w:pPr>
        <w:pStyle w:val="15"/>
        <w:rPr>
          <w:rFonts w:asciiTheme="minorHAnsi" w:hAnsiTheme="minorHAnsi" w:cstheme="minorHAnsi"/>
          <w:b/>
          <w:i/>
          <w:sz w:val="28"/>
        </w:rPr>
      </w:pPr>
      <w:r>
        <w:rPr>
          <w:rFonts w:asciiTheme="minorHAnsi" w:hAnsiTheme="minorHAnsi" w:cstheme="minorHAnsi"/>
          <w:b/>
          <w:i/>
          <w:sz w:val="28"/>
        </w:rPr>
        <w:t>Obvezni elementi vrednovanja u 3. razredu OŠ su:</w:t>
      </w:r>
    </w:p>
    <w:p w14:paraId="78418583">
      <w:pPr>
        <w:pStyle w:val="15"/>
        <w:numPr>
          <w:ilvl w:val="0"/>
          <w:numId w:val="11"/>
        </w:numPr>
        <w:rPr>
          <w:rFonts w:asciiTheme="minorHAnsi" w:hAnsiTheme="minorHAnsi" w:cstheme="minorHAnsi"/>
          <w:i/>
        </w:rPr>
      </w:pPr>
      <w:r>
        <w:rPr>
          <w:rStyle w:val="16"/>
          <w:rFonts w:asciiTheme="minorHAnsi" w:hAnsiTheme="minorHAnsi" w:cstheme="minorHAnsi"/>
          <w:i/>
        </w:rPr>
        <w:t>Slušanje i poznavanje glazbe</w:t>
      </w:r>
    </w:p>
    <w:p w14:paraId="04ABF7BE">
      <w:pPr>
        <w:pStyle w:val="15"/>
        <w:numPr>
          <w:ilvl w:val="0"/>
          <w:numId w:val="11"/>
        </w:numPr>
        <w:rPr>
          <w:rStyle w:val="16"/>
          <w:rFonts w:asciiTheme="minorHAnsi" w:hAnsiTheme="minorHAnsi" w:cstheme="minorHAnsi"/>
          <w:i/>
        </w:rPr>
      </w:pPr>
      <w:r>
        <w:rPr>
          <w:rStyle w:val="16"/>
          <w:rFonts w:asciiTheme="minorHAnsi" w:hAnsiTheme="minorHAnsi" w:cstheme="minorHAnsi"/>
          <w:i/>
        </w:rPr>
        <w:t>Izražavanje glazbom i uz glazbu</w:t>
      </w:r>
    </w:p>
    <w:p w14:paraId="544BDEF5">
      <w:pPr>
        <w:pStyle w:val="17"/>
        <w:ind w:left="720"/>
        <w:textAlignment w:val="baseline"/>
        <w:rPr>
          <w:rStyle w:val="19"/>
          <w:rFonts w:asciiTheme="minorHAnsi" w:hAnsiTheme="minorHAnsi" w:cstheme="minorHAnsi"/>
          <w:b/>
          <w:sz w:val="28"/>
        </w:rPr>
      </w:pPr>
    </w:p>
    <w:p w14:paraId="7DB539E9">
      <w:pPr>
        <w:pStyle w:val="17"/>
        <w:ind w:left="720"/>
        <w:textAlignment w:val="baseline"/>
        <w:rPr>
          <w:rStyle w:val="19"/>
          <w:rFonts w:asciiTheme="minorHAnsi" w:hAnsiTheme="minorHAnsi" w:cstheme="minorHAnsi"/>
          <w:b/>
          <w:sz w:val="28"/>
        </w:rPr>
      </w:pPr>
      <w:r>
        <w:rPr>
          <w:rStyle w:val="19"/>
          <w:rFonts w:asciiTheme="minorHAnsi" w:hAnsiTheme="minorHAnsi" w:cstheme="minorHAnsi"/>
          <w:b/>
          <w:sz w:val="28"/>
        </w:rPr>
        <w:t>Tekst u kurzivu je u cijelosti preuzet iz Kurikuluma za Glazbenu kulturu.</w:t>
      </w:r>
    </w:p>
    <w:p w14:paraId="2C7BA8D7">
      <w:pPr>
        <w:pStyle w:val="15"/>
        <w:rPr>
          <w:rStyle w:val="16"/>
          <w:rFonts w:asciiTheme="minorHAnsi" w:hAnsiTheme="minorHAnsi" w:cstheme="minorHAnsi"/>
          <w:i/>
        </w:rPr>
      </w:pPr>
    </w:p>
    <w:p w14:paraId="1F090A10">
      <w:pPr>
        <w:pStyle w:val="15"/>
        <w:ind w:firstLine="360"/>
        <w:rPr>
          <w:rStyle w:val="16"/>
          <w:rFonts w:asciiTheme="minorHAnsi" w:hAnsiTheme="minorHAnsi" w:cstheme="minorHAnsi"/>
        </w:rPr>
      </w:pPr>
      <w:r>
        <w:rPr>
          <w:rStyle w:val="16"/>
          <w:rFonts w:asciiTheme="minorHAnsi" w:hAnsiTheme="minorHAnsi" w:cstheme="minorHAnsi"/>
        </w:rPr>
        <w:t xml:space="preserve">Praksa je pokazala da u nastavnom predmetu Glazbena kultura učenici ostvaruju zadane ishode na najmanjoj razini ocjene dobar, stoga je, u navedene tri domene i napravljeno razvrstavanje postignuća od odličnog do dobar. </w:t>
      </w:r>
    </w:p>
    <w:p w14:paraId="38D3C601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Glazbena kultura naglasak na odgojnoj komponenti, te je  </w:t>
      </w:r>
      <w:r>
        <w:rPr>
          <w:rFonts w:cstheme="minorHAnsi"/>
          <w:sz w:val="24"/>
        </w:rPr>
        <w:t>važniji proces od krajnjeg rezultata jer postignuće u tim aktivnostima ovisi o glazbenim</w:t>
      </w:r>
      <w:r>
        <w:rPr>
          <w:sz w:val="28"/>
          <w:szCs w:val="24"/>
        </w:rPr>
        <w:t xml:space="preserve"> </w:t>
      </w:r>
      <w:r>
        <w:rPr>
          <w:sz w:val="24"/>
          <w:szCs w:val="24"/>
        </w:rPr>
        <w:t>sposobnostima učenika, u praksi se pokazalo kako su odgojni učinci rada jedan od bitnih sastavnica u vrednovanju, preporuka je</w:t>
      </w:r>
      <w:r>
        <w:rPr>
          <w:rFonts w:cstheme="minorHAnsi"/>
          <w:sz w:val="24"/>
        </w:rPr>
        <w:t xml:space="preserve"> da učitelj samostalno uvede i treći element ocjenjivanja (mogućnost koja je napomenuta i u Kurikulumu) i da taj element bude: </w:t>
      </w:r>
      <w:r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 odnos prema aktivnosti i njihova uključenost u iste</w:t>
      </w:r>
      <w:r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2F5FE510">
      <w:pPr>
        <w:ind w:firstLine="360"/>
        <w:jc w:val="both"/>
        <w:rPr>
          <w:rFonts w:cstheme="minorHAnsi"/>
          <w:sz w:val="24"/>
        </w:rPr>
      </w:pPr>
    </w:p>
    <w:p w14:paraId="0CE36258">
      <w:pPr>
        <w:ind w:firstLine="360"/>
        <w:jc w:val="both"/>
        <w:rPr>
          <w:rFonts w:cstheme="minorHAnsi"/>
          <w:sz w:val="24"/>
        </w:rPr>
      </w:pPr>
    </w:p>
    <w:p w14:paraId="0A40810B">
      <w:pPr>
        <w:ind w:firstLine="360"/>
        <w:jc w:val="both"/>
        <w:rPr>
          <w:rFonts w:cstheme="minorHAnsi"/>
          <w:sz w:val="24"/>
        </w:rPr>
      </w:pPr>
    </w:p>
    <w:p w14:paraId="67A349E0">
      <w:pPr>
        <w:ind w:firstLine="360"/>
        <w:jc w:val="both"/>
        <w:rPr>
          <w:rFonts w:cstheme="minorHAnsi"/>
          <w:sz w:val="24"/>
        </w:rPr>
      </w:pPr>
    </w:p>
    <w:p w14:paraId="7E561021">
      <w:pPr>
        <w:ind w:firstLine="360"/>
        <w:jc w:val="both"/>
        <w:rPr>
          <w:rFonts w:cstheme="minorHAnsi"/>
          <w:sz w:val="24"/>
        </w:rPr>
      </w:pPr>
    </w:p>
    <w:tbl>
      <w:tblPr>
        <w:tblStyle w:val="13"/>
        <w:tblW w:w="15735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3597"/>
        <w:gridCol w:w="4237"/>
        <w:gridCol w:w="4498"/>
      </w:tblGrid>
      <w:tr w14:paraId="46DBF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15735" w:type="dxa"/>
            <w:gridSpan w:val="4"/>
            <w:tcBorders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14:paraId="46B5C88F">
            <w:pPr>
              <w:spacing w:after="0" w:line="240" w:lineRule="auto"/>
              <w:ind w:left="224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DOMENA A. SLUŠANJE I UPOZNAVANJE GLAZBE</w:t>
            </w:r>
          </w:p>
        </w:tc>
      </w:tr>
      <w:tr w14:paraId="2A29E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5" w:type="dxa"/>
            <w:gridSpan w:val="4"/>
            <w:shd w:val="clear" w:color="auto" w:fill="DEEAF6" w:themeFill="accent1" w:themeFillTint="33"/>
          </w:tcPr>
          <w:p w14:paraId="7FD85B0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OŠ GK A.3.1. Učenik poznaje određeni broj skladbi.</w:t>
            </w:r>
          </w:p>
        </w:tc>
      </w:tr>
      <w:tr w14:paraId="51B56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right w:val="double" w:color="auto" w:sz="12" w:space="0"/>
            </w:tcBorders>
            <w:shd w:val="clear" w:color="auto" w:fill="DEEAF6" w:themeFill="accent1" w:themeFillTint="33"/>
          </w:tcPr>
          <w:p w14:paraId="25E1122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4681CF4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7CFA06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1EC6F51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3D883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right w:val="double" w:color="auto" w:sz="12" w:space="0"/>
            </w:tcBorders>
            <w:vAlign w:val="center"/>
          </w:tcPr>
          <w:p w14:paraId="366D25A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Poznaje određeni broj kraćih skladbi (cjelovite skladbe, stavci ili ulomci) različitih vrsta glazbe (klasična, tradicijska, popularna, jazz, filmska glazba).</w:t>
            </w:r>
          </w:p>
        </w:tc>
        <w:tc>
          <w:tcPr>
            <w:tcW w:w="3597" w:type="dxa"/>
          </w:tcPr>
          <w:p w14:paraId="144A9565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Poznaje manji dio obrađenih dijelova skladbi različitih vrsta glazbe ali ih nije u mogućnosti razvrstati po navedenim stilovima.</w:t>
            </w:r>
          </w:p>
        </w:tc>
        <w:tc>
          <w:tcPr>
            <w:tcW w:w="4237" w:type="dxa"/>
          </w:tcPr>
          <w:p w14:paraId="0C5204BC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Poznaje dio obrađenih cjelovitih skladbi ili dijelova različitih vrsta glazbe (klasična, tradicijska, popularna, jazz i filmska glazba) i uz poticaj ih razvrstava po navedenim stilovima.</w:t>
            </w:r>
          </w:p>
        </w:tc>
        <w:tc>
          <w:tcPr>
            <w:tcW w:w="4498" w:type="dxa"/>
          </w:tcPr>
          <w:p w14:paraId="418C46E3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Poznaje većinu obrađenih cjelovitih skladbi različitih vrsta glazbe (klasična, tradicijska, popularna, jazz i filmska glazba) te ih je u mogućnosti samostalno razvrstati po navedenim stilovima.</w:t>
            </w:r>
          </w:p>
        </w:tc>
      </w:tr>
      <w:tr w14:paraId="5C49A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5" w:type="dxa"/>
            <w:gridSpan w:val="4"/>
            <w:tcBorders>
              <w:top w:val="single" w:color="auto" w:sz="18" w:space="0"/>
              <w:bottom w:val="nil"/>
            </w:tcBorders>
            <w:shd w:val="clear" w:color="auto" w:fill="DEEAF6" w:themeFill="accent1" w:themeFillTint="33"/>
          </w:tcPr>
          <w:p w14:paraId="2E465C2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GK A.3.2. Učenik temeljem slušanja razlikuje pojedine glazbeno-izražajne sastavnice.</w:t>
            </w:r>
          </w:p>
        </w:tc>
      </w:tr>
      <w:tr w14:paraId="49661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right w:val="double" w:color="auto" w:sz="12" w:space="0"/>
            </w:tcBorders>
            <w:shd w:val="clear" w:color="auto" w:fill="DEEAF6" w:themeFill="accent1" w:themeFillTint="33"/>
          </w:tcPr>
          <w:p w14:paraId="1148A9E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BA9F76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3284FC0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2C4F7E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2C52D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bottom w:val="nil"/>
              <w:right w:val="double" w:color="auto" w:sz="12" w:space="0"/>
            </w:tcBorders>
          </w:tcPr>
          <w:p w14:paraId="6DB56A9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razlikuje pojedine glazbeno-izražajne sastavnice:</w:t>
            </w:r>
          </w:p>
          <w:p w14:paraId="63C6CBF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metar/dobe</w:t>
            </w:r>
          </w:p>
          <w:p w14:paraId="5C8C9E7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tempo</w:t>
            </w:r>
          </w:p>
          <w:p w14:paraId="19A8619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visina tona</w:t>
            </w:r>
          </w:p>
          <w:p w14:paraId="6BB4012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dinamika</w:t>
            </w:r>
          </w:p>
          <w:p w14:paraId="739DB4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boja/izvođači</w:t>
            </w:r>
          </w:p>
          <w:p w14:paraId="041D942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– oblik.</w:t>
            </w:r>
          </w:p>
        </w:tc>
        <w:tc>
          <w:tcPr>
            <w:tcW w:w="3597" w:type="dxa"/>
            <w:tcBorders>
              <w:bottom w:val="nil"/>
            </w:tcBorders>
          </w:tcPr>
          <w:p w14:paraId="7DC873F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 isključivo uz pomoć učitelja te uspoređujući sa prethodno slušanim skladbama i sastavnicama u njima.</w:t>
            </w:r>
          </w:p>
        </w:tc>
        <w:tc>
          <w:tcPr>
            <w:tcW w:w="4237" w:type="dxa"/>
            <w:tcBorders>
              <w:bottom w:val="nil"/>
            </w:tcBorders>
          </w:tcPr>
          <w:p w14:paraId="0E1539C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skladbama.</w:t>
            </w:r>
          </w:p>
        </w:tc>
        <w:tc>
          <w:tcPr>
            <w:tcW w:w="4498" w:type="dxa"/>
            <w:tcBorders>
              <w:bottom w:val="nil"/>
            </w:tcBorders>
          </w:tcPr>
          <w:p w14:paraId="5F571F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samostalno uspoređuje glazbeno-izražajne sastavnice u različitim skladbama imenujući i razlikujući jednu od druge.</w:t>
            </w:r>
          </w:p>
        </w:tc>
      </w:tr>
      <w:tr w14:paraId="01C03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5" w:type="dxa"/>
            <w:gridSpan w:val="4"/>
            <w:shd w:val="clear" w:color="auto" w:fill="C5E0B3" w:themeFill="accent6" w:themeFillTint="66"/>
            <w:vAlign w:val="center"/>
          </w:tcPr>
          <w:p w14:paraId="0243E54C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DOMENA B. IZRAŽAVANJE GLAZBOM I UZ GLAZBU</w:t>
            </w:r>
          </w:p>
        </w:tc>
      </w:tr>
      <w:tr w14:paraId="6BCBB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5" w:type="dxa"/>
            <w:gridSpan w:val="4"/>
            <w:tcBorders>
              <w:bottom w:val="single" w:color="auto" w:sz="4" w:space="0"/>
            </w:tcBorders>
            <w:shd w:val="clear" w:color="auto" w:fill="DEEAF6" w:themeFill="accent1" w:themeFillTint="33"/>
          </w:tcPr>
          <w:p w14:paraId="4583C93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8"/>
              </w:rPr>
              <w:t xml:space="preserve">ISHOD: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B.3.1. Učenik sudjeluje u zajedničkoj izvedbi glazbe.</w:t>
            </w:r>
          </w:p>
        </w:tc>
      </w:tr>
      <w:tr w14:paraId="3B06E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right w:val="double" w:color="auto" w:sz="12" w:space="0"/>
            </w:tcBorders>
            <w:shd w:val="clear" w:color="auto" w:fill="DEEAF6" w:themeFill="accent1" w:themeFillTint="33"/>
          </w:tcPr>
          <w:p w14:paraId="01D9F69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1D4B42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7810EF3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CB65C7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19724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bottom w:val="single" w:color="auto" w:sz="4" w:space="0"/>
              <w:right w:val="double" w:color="auto" w:sz="12" w:space="0"/>
            </w:tcBorders>
            <w:vAlign w:val="center"/>
          </w:tcPr>
          <w:p w14:paraId="12F671E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Sudjeluje u zajedničkoj izvedbi glazbe, usklađuje vlastitu izvedbu s izvedbama drugih učenika te vrednuje vlastitu izvedbu, izvedbe drugih i zajedničku izvedbu.</w:t>
            </w:r>
          </w:p>
        </w:tc>
        <w:tc>
          <w:tcPr>
            <w:tcW w:w="3597" w:type="dxa"/>
            <w:tcBorders>
              <w:bottom w:val="single" w:color="auto" w:sz="4" w:space="0"/>
            </w:tcBorders>
          </w:tcPr>
          <w:p w14:paraId="137C254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poticaj sudjeluje u zajedničkoj izvedbi glazbe, teško usklađuje vlastitu izvedbu s izvedbama drugih učenika. Nevoljko i nerealno vrednuje vlastitu izvedbu, izvedbe drugih i zajedničku izvedbu.</w:t>
            </w:r>
          </w:p>
        </w:tc>
        <w:tc>
          <w:tcPr>
            <w:tcW w:w="4237" w:type="dxa"/>
            <w:tcBorders>
              <w:bottom w:val="single" w:color="auto" w:sz="4" w:space="0"/>
            </w:tcBorders>
          </w:tcPr>
          <w:p w14:paraId="1CAFBC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sudjeluje u zajedničkoj izvedbi glazbe, usklađuje vlastitu izvedbu s izvedbama drugih učenika te vrednuje vlastitu izvedbu, izvedbe drugih i zajedničku izvedbu.</w:t>
            </w:r>
          </w:p>
        </w:tc>
        <w:tc>
          <w:tcPr>
            <w:tcW w:w="4498" w:type="dxa"/>
            <w:tcBorders>
              <w:bottom w:val="single" w:color="auto" w:sz="4" w:space="0"/>
            </w:tcBorders>
          </w:tcPr>
          <w:p w14:paraId="1CEF0A7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Rado i aktivno sudjeluje u zajedničkoj izvedbi glazbe, usklađuje vlastitu izvedbu s izvedbama drugih učenika. Realno vrednuje vlastitu izvedbu, izvedbe drugih i zajedničku izvedbu te daje sugestije za poboljšanje iste.</w:t>
            </w:r>
          </w:p>
        </w:tc>
      </w:tr>
      <w:tr w14:paraId="0A145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5" w:type="dxa"/>
            <w:gridSpan w:val="4"/>
            <w:tcBorders>
              <w:bottom w:val="single" w:color="auto" w:sz="4" w:space="0"/>
            </w:tcBorders>
            <w:shd w:val="clear" w:color="auto" w:fill="DEEAF6" w:themeFill="accent1" w:themeFillTint="33"/>
          </w:tcPr>
          <w:p w14:paraId="4F36F2F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B.3.2. Učenik pjeva/izvodi pjesme i brojalice.</w:t>
            </w:r>
          </w:p>
        </w:tc>
      </w:tr>
      <w:tr w14:paraId="7860F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right w:val="double" w:color="auto" w:sz="12" w:space="0"/>
            </w:tcBorders>
            <w:shd w:val="clear" w:color="auto" w:fill="DEEAF6" w:themeFill="accent1" w:themeFillTint="33"/>
          </w:tcPr>
          <w:p w14:paraId="4A5F5A6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471C5F4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2680580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24BCC1B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7FC63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bottom w:val="single" w:color="auto" w:sz="4" w:space="0"/>
              <w:right w:val="double" w:color="auto" w:sz="12" w:space="0"/>
            </w:tcBorders>
          </w:tcPr>
          <w:p w14:paraId="3A471B3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Pjeva/izvodi pjesme i brojalice i pritom uvažava glazbeno-izražajne sastavnice </w:t>
            </w:r>
          </w:p>
          <w:p w14:paraId="54EAF15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(metar/dobe, tempo, visina tona, dinamika).</w:t>
            </w:r>
          </w:p>
        </w:tc>
        <w:tc>
          <w:tcPr>
            <w:tcW w:w="3597" w:type="dxa"/>
            <w:tcBorders>
              <w:bottom w:val="single" w:color="auto" w:sz="4" w:space="0"/>
            </w:tcBorders>
          </w:tcPr>
          <w:p w14:paraId="5439F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Nevoljko pjeva/izvodi pjesme i brojalice, pri čemu ne uvažava glazbeno-izražajne sastavnice (metar/dobe, tempo, visina tona, dinamika).</w:t>
            </w:r>
          </w:p>
        </w:tc>
        <w:tc>
          <w:tcPr>
            <w:tcW w:w="4237" w:type="dxa"/>
            <w:tcBorders>
              <w:bottom w:val="single" w:color="auto" w:sz="4" w:space="0"/>
            </w:tcBorders>
          </w:tcPr>
          <w:p w14:paraId="5010BFF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Pjeva/izvodi pjesme i brojalice i pritom uvažava glazbeno-izražajne sastavnice (metar/dobe, tempo, visina tona, dinamika).</w:t>
            </w:r>
          </w:p>
        </w:tc>
        <w:tc>
          <w:tcPr>
            <w:tcW w:w="4498" w:type="dxa"/>
            <w:tcBorders>
              <w:bottom w:val="single" w:color="auto" w:sz="4" w:space="0"/>
            </w:tcBorders>
          </w:tcPr>
          <w:p w14:paraId="2DA0757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 rado pjeva/izvodi pjesme i brojalice i pritom uvažava glazbeno-izražajne sastavnice (metar/dobe, tempo, visina tona, dinamika). </w:t>
            </w:r>
          </w:p>
        </w:tc>
      </w:tr>
      <w:tr w14:paraId="57F63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5" w:type="dxa"/>
            <w:gridSpan w:val="4"/>
            <w:tcBorders>
              <w:bottom w:val="single" w:color="auto" w:sz="4" w:space="0"/>
            </w:tcBorders>
            <w:shd w:val="clear" w:color="auto" w:fill="DEEAF6" w:themeFill="accent1" w:themeFillTint="33"/>
          </w:tcPr>
          <w:p w14:paraId="715EABE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B.3.3. Učenik izvodi glazbene igre uz pjevanje, slušanje glazbe i pokret uz glazbu.</w:t>
            </w:r>
          </w:p>
        </w:tc>
      </w:tr>
      <w:tr w14:paraId="67596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right w:val="double" w:color="auto" w:sz="12" w:space="0"/>
            </w:tcBorders>
            <w:shd w:val="clear" w:color="auto" w:fill="DEEAF6" w:themeFill="accent1" w:themeFillTint="33"/>
          </w:tcPr>
          <w:p w14:paraId="1BF1CA5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5ED207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15031E1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3A54BC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2FD6D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bottom w:val="single" w:color="auto" w:sz="4" w:space="0"/>
              <w:right w:val="double" w:color="auto" w:sz="12" w:space="0"/>
            </w:tcBorders>
          </w:tcPr>
          <w:p w14:paraId="6BE4F25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3597" w:type="dxa"/>
            <w:tcBorders>
              <w:bottom w:val="single" w:color="auto" w:sz="4" w:space="0"/>
            </w:tcBorders>
          </w:tcPr>
          <w:p w14:paraId="4931E712">
            <w:pPr>
              <w:spacing w:after="0" w:line="240" w:lineRule="auto"/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 intervencije učitelja izvodi glazbene igre s pjevanjem, s tonovima/melodijama/ritmovima, uz slušanje glazbe i prati pokretom pjesme i skladbe. Potrebno učestalo  skretanje pozornosti na uvažavanje glazbeno-izražajnih sastavnica.</w:t>
            </w:r>
          </w:p>
        </w:tc>
        <w:tc>
          <w:tcPr>
            <w:tcW w:w="4237" w:type="dxa"/>
            <w:tcBorders>
              <w:bottom w:val="single" w:color="auto" w:sz="4" w:space="0"/>
            </w:tcBorders>
          </w:tcPr>
          <w:p w14:paraId="1A7A73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izvodi glazbene igre s pjevanjem, s tonovima/melodijama/ritmovima, uz slušanje glazbe i prati pokretom pjesme i skladbe uz povremeno skretanje pozornosti na glazbeno-izražajne sastavnice.</w:t>
            </w:r>
          </w:p>
        </w:tc>
        <w:tc>
          <w:tcPr>
            <w:tcW w:w="4498" w:type="dxa"/>
            <w:tcBorders>
              <w:bottom w:val="single" w:color="auto" w:sz="4" w:space="0"/>
            </w:tcBorders>
          </w:tcPr>
          <w:p w14:paraId="66BE5BD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rado izvodi glazbene igre s pjevanjem, s tonovima/melodijama/ritmovima, uz slušanje glazbe i prati pokretom pjesme i skladbe uvažavajući glazbeno-izražajne sastavnice.</w:t>
            </w:r>
          </w:p>
        </w:tc>
      </w:tr>
      <w:tr w14:paraId="12F5B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5" w:type="dxa"/>
            <w:gridSpan w:val="4"/>
            <w:tcBorders>
              <w:bottom w:val="single" w:color="auto" w:sz="4" w:space="0"/>
            </w:tcBorders>
            <w:shd w:val="clear" w:color="auto" w:fill="DEEAF6" w:themeFill="accent1" w:themeFillTint="33"/>
          </w:tcPr>
          <w:p w14:paraId="081118E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B.3.4. Učenik stvara/improvizira melodijske i ritamske cjeline te svira uz pjesme/brojalice koje izvodi.</w:t>
            </w:r>
          </w:p>
        </w:tc>
      </w:tr>
      <w:tr w14:paraId="021A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right w:val="double" w:color="auto" w:sz="12" w:space="0"/>
            </w:tcBorders>
            <w:shd w:val="clear" w:color="auto" w:fill="DEEAF6" w:themeFill="accent1" w:themeFillTint="33"/>
          </w:tcPr>
          <w:p w14:paraId="7671F9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0D81D4E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48D165E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243E38E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5A707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bottom w:val="single" w:color="auto" w:sz="4" w:space="0"/>
              <w:right w:val="double" w:color="auto" w:sz="12" w:space="0"/>
            </w:tcBorders>
          </w:tcPr>
          <w:p w14:paraId="40CEBB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Stvara/improvizira melodijske i ritamske cjeline pjevanjem, pokretom/plesom, pljeskanjem, lupkanjem, koračanjem i/ili udaraljkama.</w:t>
            </w:r>
          </w:p>
        </w:tc>
        <w:tc>
          <w:tcPr>
            <w:tcW w:w="3597" w:type="dxa"/>
            <w:tcBorders>
              <w:bottom w:val="single" w:color="auto" w:sz="4" w:space="0"/>
            </w:tcBorders>
          </w:tcPr>
          <w:p w14:paraId="55EFBE5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poticaj stvara melodijske i ritamske cjeline pjevanjem, pokretom, pljeskanjem, lupkanjem, koračanjem i/ili udaraljkama.</w:t>
            </w:r>
          </w:p>
          <w:p w14:paraId="6965C5E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37" w:type="dxa"/>
            <w:tcBorders>
              <w:bottom w:val="single" w:color="auto" w:sz="4" w:space="0"/>
            </w:tcBorders>
          </w:tcPr>
          <w:p w14:paraId="0067096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skupini stvara jednostavne melodijske i ritamske cjeline pjevanjem, pokretom, pljeskanjem, lupkanjem, koračanjem i/ili udaraljkama.</w:t>
            </w:r>
          </w:p>
          <w:p w14:paraId="0BDFF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498" w:type="dxa"/>
            <w:tcBorders>
              <w:bottom w:val="single" w:color="auto" w:sz="4" w:space="0"/>
            </w:tcBorders>
          </w:tcPr>
          <w:p w14:paraId="29355AB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stvara kreativne i složene melodijske i ritamske cjeline pjevanjem, pokretom, pljeskanjem, lupkanjem, koračanjem i/ili udaraljkama.</w:t>
            </w:r>
          </w:p>
          <w:p w14:paraId="7EE60C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0BD00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bottom w:val="single" w:color="auto" w:sz="4" w:space="0"/>
              <w:right w:val="double" w:color="auto" w:sz="12" w:space="0"/>
            </w:tcBorders>
          </w:tcPr>
          <w:p w14:paraId="2748A50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pjesme/brojalice koje pjeva/izvodi.</w:t>
            </w:r>
          </w:p>
        </w:tc>
        <w:tc>
          <w:tcPr>
            <w:tcW w:w="3597" w:type="dxa"/>
            <w:tcBorders>
              <w:bottom w:val="single" w:color="auto" w:sz="4" w:space="0"/>
            </w:tcBorders>
          </w:tcPr>
          <w:p w14:paraId="28F00E2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Udaraljke iz dječjeg instrumentarija koristi ne nepravilan i često nenamjenski način te uz čestu intervenciju i korekciju učitelja.</w:t>
            </w:r>
          </w:p>
        </w:tc>
        <w:tc>
          <w:tcPr>
            <w:tcW w:w="4237" w:type="dxa"/>
            <w:tcBorders>
              <w:bottom w:val="single" w:color="auto" w:sz="4" w:space="0"/>
            </w:tcBorders>
          </w:tcPr>
          <w:p w14:paraId="1C5BDDBD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pjesme/brojalice koje pjeva/izvodi uz manja odstupanja u tekstu i/ili ritmu. Ritam i tekst pjesama i brojalica reproducira uglavnom točno.</w:t>
            </w:r>
          </w:p>
        </w:tc>
        <w:tc>
          <w:tcPr>
            <w:tcW w:w="4498" w:type="dxa"/>
            <w:tcBorders>
              <w:bottom w:val="single" w:color="auto" w:sz="4" w:space="0"/>
            </w:tcBorders>
          </w:tcPr>
          <w:p w14:paraId="0B5660E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svira na udaraljkama ili tjeloglazbom uz pjesme ili brojalice koje pjeva/izvodi. Ritam i tekst pjesama i brojalica reproducira točno. Udaraljke iz dječjeg instrumentarija koristi ispravno.</w:t>
            </w:r>
          </w:p>
        </w:tc>
      </w:tr>
      <w:tr w14:paraId="682F5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5" w:type="dxa"/>
            <w:gridSpan w:val="4"/>
            <w:shd w:val="clear" w:color="auto" w:fill="C5E0B3" w:themeFill="accent6" w:themeFillTint="66"/>
          </w:tcPr>
          <w:p w14:paraId="46528E71">
            <w:pPr>
              <w:spacing w:after="0" w:line="240" w:lineRule="auto"/>
              <w:jc w:val="center"/>
              <w:rPr>
                <w:rFonts w:cstheme="minorHAnsi"/>
                <w:color w:val="C00000"/>
                <w:sz w:val="28"/>
                <w:szCs w:val="24"/>
              </w:rPr>
            </w:pPr>
            <w:r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 xml:space="preserve">DOMENA C: </w:t>
            </w:r>
            <w:r>
              <w:rPr>
                <w:rFonts w:cstheme="minorHAnsi"/>
                <w:b/>
                <w:color w:val="C00000"/>
                <w:sz w:val="28"/>
                <w:szCs w:val="24"/>
              </w:rPr>
              <w:t>GLAZBA U KONTEKSTU</w:t>
            </w:r>
          </w:p>
        </w:tc>
      </w:tr>
      <w:tr w14:paraId="5AF21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35" w:type="dxa"/>
            <w:gridSpan w:val="4"/>
            <w:tcBorders>
              <w:bottom w:val="single" w:color="auto" w:sz="4" w:space="0"/>
            </w:tcBorders>
            <w:shd w:val="clear" w:color="auto" w:fill="DEEAF6" w:themeFill="accent1" w:themeFillTint="33"/>
          </w:tcPr>
          <w:p w14:paraId="71D6DD3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C.3.1. Učenik na osnovu slušanja glazbe i aktivnog muziciranja prepoznaje različite uloge glazbe.</w:t>
            </w:r>
          </w:p>
        </w:tc>
      </w:tr>
      <w:tr w14:paraId="665E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right w:val="double" w:color="auto" w:sz="12" w:space="0"/>
            </w:tcBorders>
            <w:shd w:val="clear" w:color="auto" w:fill="DEEAF6" w:themeFill="accent1" w:themeFillTint="33"/>
          </w:tcPr>
          <w:p w14:paraId="14766F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1E8D194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260FC78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4666873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0BB21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3" w:type="dxa"/>
            <w:tcBorders>
              <w:bottom w:val="single" w:color="auto" w:sz="4" w:space="0"/>
              <w:right w:val="double" w:color="auto" w:sz="12" w:space="0"/>
            </w:tcBorders>
          </w:tcPr>
          <w:p w14:paraId="4B04D7EB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osnovu slušanja glazbe i aktivnog muziciranja prepoznaje različite uloge glazbe (svečana glazba, glazba za ples i sl.).</w:t>
            </w:r>
          </w:p>
        </w:tc>
        <w:tc>
          <w:tcPr>
            <w:tcW w:w="3597" w:type="dxa"/>
            <w:tcBorders>
              <w:bottom w:val="single" w:color="auto" w:sz="4" w:space="0"/>
            </w:tcBorders>
          </w:tcPr>
          <w:p w14:paraId="13DC257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Glazbene primjere sluša uz česta skretanja pozornosti na sadržaje slušanja. Teško i uz poticaje prepoznaje različite uloge glazbe. </w:t>
            </w:r>
          </w:p>
        </w:tc>
        <w:tc>
          <w:tcPr>
            <w:tcW w:w="4237" w:type="dxa"/>
            <w:tcBorders>
              <w:bottom w:val="single" w:color="auto" w:sz="4" w:space="0"/>
            </w:tcBorders>
          </w:tcPr>
          <w:p w14:paraId="7F9630E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Pozorno sluša glazbene primjere uz manje intervencije učitelja. Dio slušanih glazbenih primjera pravilno kategorizira po ulozi (svečana glazba, glazba za ples i sl.).</w:t>
            </w:r>
          </w:p>
        </w:tc>
        <w:tc>
          <w:tcPr>
            <w:tcW w:w="4498" w:type="dxa"/>
            <w:tcBorders>
              <w:bottom w:val="single" w:color="auto" w:sz="4" w:space="0"/>
            </w:tcBorders>
          </w:tcPr>
          <w:p w14:paraId="3FDFE71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Slušanjem glazbenih primjera samostalno prepoznaje različite uloge glazbe. Samoinicijativno i samostalno daje primjere i ostalih skladbi u istoj vrsti glazbe. </w:t>
            </w:r>
          </w:p>
        </w:tc>
      </w:tr>
    </w:tbl>
    <w:p w14:paraId="4A154972">
      <w:pPr>
        <w:rPr>
          <w:sz w:val="24"/>
          <w:szCs w:val="24"/>
        </w:rPr>
      </w:pPr>
    </w:p>
    <w:p w14:paraId="510E485B">
      <w:pPr>
        <w:rPr>
          <w:sz w:val="24"/>
          <w:szCs w:val="24"/>
        </w:rPr>
      </w:pPr>
    </w:p>
    <w:p w14:paraId="2DAF6F4F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treći i nadodani element: </w:t>
      </w:r>
      <w:r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p w14:paraId="55CCE47C">
      <w:pPr>
        <w:rPr>
          <w:rFonts w:cstheme="minorHAnsi"/>
          <w:sz w:val="24"/>
        </w:rPr>
      </w:pPr>
    </w:p>
    <w:tbl>
      <w:tblPr>
        <w:tblStyle w:val="3"/>
        <w:tblW w:w="15877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3315"/>
        <w:gridCol w:w="3034"/>
        <w:gridCol w:w="3034"/>
        <w:gridCol w:w="3034"/>
        <w:gridCol w:w="3035"/>
      </w:tblGrid>
      <w:tr w14:paraId="6DAA3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shd w:val="clear" w:color="auto" w:fill="A8D08D" w:themeFill="accent6" w:themeFillTint="99"/>
          </w:tcPr>
          <w:p w14:paraId="3E4DFBD2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315" w:type="dxa"/>
            <w:shd w:val="clear" w:color="auto" w:fill="A8D08D" w:themeFill="accent6" w:themeFillTint="99"/>
          </w:tcPr>
          <w:p w14:paraId="50C28420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51539B7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0F80D86A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5CFB115B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26D5A867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ODLIČAN</w:t>
            </w:r>
          </w:p>
        </w:tc>
      </w:tr>
      <w:tr w14:paraId="21D98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425" w:type="dxa"/>
            <w:textDirection w:val="btLr"/>
          </w:tcPr>
          <w:p w14:paraId="351F7AA6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315" w:type="dxa"/>
          </w:tcPr>
          <w:p w14:paraId="13B0F91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Niti uz poticaj ne želi raditi kao dio skupine niti samostalno.</w:t>
            </w:r>
          </w:p>
          <w:p w14:paraId="075199F7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608C56B2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Neprimjereno se ponaša u radu.</w:t>
            </w:r>
          </w:p>
          <w:p w14:paraId="02E6CCD3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odgovornost za svoje ponašanje.</w:t>
            </w:r>
          </w:p>
          <w:p w14:paraId="6B4C6C2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Nema razvijen osjećaj samokontrole.</w:t>
            </w:r>
          </w:p>
          <w:p w14:paraId="6DDEFD06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nosi pribor za rad.</w:t>
            </w:r>
          </w:p>
          <w:p w14:paraId="1E9DB7B5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reagira na opomenu.</w:t>
            </w:r>
          </w:p>
          <w:p w14:paraId="239D5D38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670DE53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1B204255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3F9D834E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Neprimjereno se ponaša u radu.</w:t>
            </w:r>
          </w:p>
          <w:p w14:paraId="18C32BAB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Odgovornost za svoje ponašanje prihvaća nakon intervencije učitelja.</w:t>
            </w:r>
          </w:p>
          <w:p w14:paraId="126EFAEB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469CBAE6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brine o urednosti pribora za rad i na sat ga nosi povremeno.</w:t>
            </w:r>
          </w:p>
          <w:p w14:paraId="05BAE5DF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 reagira na opomenu.</w:t>
            </w:r>
          </w:p>
          <w:p w14:paraId="6E114718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27E14E91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98FEB6B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Prihvaća samo određena postavljena pravila.</w:t>
            </w:r>
          </w:p>
          <w:p w14:paraId="71471A12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4FC01934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1793B2B0">
            <w:pPr>
              <w:pStyle w:val="21"/>
              <w:rPr>
                <w:rFonts w:cs="Calibri"/>
                <w:szCs w:val="22"/>
              </w:rPr>
            </w:pPr>
          </w:p>
          <w:p w14:paraId="183AD8C4">
            <w:pPr>
              <w:pStyle w:val="21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249A8DFA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58458131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Prihvaća i slijedi postavljena pravila pri radu uz manje opomene i podsjećanja.</w:t>
            </w:r>
          </w:p>
          <w:p w14:paraId="7D7A18AD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5011A9EB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nosi pribor za rad.</w:t>
            </w:r>
          </w:p>
          <w:p w14:paraId="50B08CFD">
            <w:pPr>
              <w:pStyle w:val="21"/>
              <w:rPr>
                <w:rFonts w:cs="Calibri"/>
                <w:szCs w:val="22"/>
              </w:rPr>
            </w:pPr>
          </w:p>
          <w:p w14:paraId="201D9FFA">
            <w:pPr>
              <w:pStyle w:val="21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2B8EFA09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271AF84C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Prihvaća i slijedi postavljena pravila pri radu.</w:t>
            </w:r>
          </w:p>
          <w:p w14:paraId="50B44AF5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FAC808E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07CCA27A">
            <w:pPr>
              <w:pStyle w:val="21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(izrada plakata, jednostavnih glazbala..) prihvaća i odrađuje na vrijeme, kvalitetno i sa entuzijazmom.</w:t>
            </w:r>
          </w:p>
          <w:p w14:paraId="5081E275">
            <w:pPr>
              <w:pStyle w:val="21"/>
              <w:rPr>
                <w:rFonts w:cs="Calibri"/>
                <w:szCs w:val="22"/>
              </w:rPr>
            </w:pPr>
          </w:p>
        </w:tc>
      </w:tr>
    </w:tbl>
    <w:p w14:paraId="324CED92">
      <w:pPr>
        <w:rPr>
          <w:rFonts w:cstheme="minorHAnsi"/>
          <w:sz w:val="24"/>
        </w:rPr>
      </w:pPr>
    </w:p>
    <w:p w14:paraId="4C42BADA">
      <w:pPr>
        <w:rPr>
          <w:rFonts w:cstheme="minorHAnsi"/>
        </w:rPr>
      </w:pPr>
    </w:p>
    <w:p w14:paraId="37071B9B">
      <w:pPr>
        <w:rPr>
          <w:rFonts w:cstheme="minorHAnsi"/>
        </w:rPr>
      </w:pPr>
    </w:p>
    <w:p w14:paraId="26BADE0E">
      <w:pPr>
        <w:rPr>
          <w:rFonts w:cstheme="minorHAnsi"/>
        </w:rPr>
      </w:pPr>
    </w:p>
    <w:p w14:paraId="69E58345">
      <w:pPr>
        <w:rPr>
          <w:rFonts w:cstheme="minorHAnsi"/>
        </w:rPr>
      </w:pPr>
    </w:p>
    <w:p w14:paraId="24E9D326">
      <w:pPr>
        <w:rPr>
          <w:rFonts w:cstheme="minorHAnsi"/>
        </w:rPr>
      </w:pPr>
    </w:p>
    <w:p w14:paraId="39560D8E">
      <w:pPr>
        <w:rPr>
          <w:rFonts w:cstheme="minorHAnsi"/>
        </w:rPr>
      </w:pPr>
    </w:p>
    <w:p w14:paraId="3552D5A1">
      <w:pPr>
        <w:rPr>
          <w:rFonts w:cstheme="minorHAnsi"/>
        </w:rPr>
      </w:pPr>
    </w:p>
    <w:p w14:paraId="7CE41773">
      <w:pPr>
        <w:rPr>
          <w:rFonts w:cstheme="minorHAnsi"/>
        </w:rPr>
      </w:pPr>
    </w:p>
    <w:p w14:paraId="65DD0C74">
      <w:pPr>
        <w:jc w:val="center"/>
        <w:rPr>
          <w:rFonts w:cstheme="minorHAnsi"/>
          <w:b/>
          <w:sz w:val="40"/>
        </w:rPr>
      </w:pPr>
      <w:r>
        <w:rPr>
          <w:rFonts w:cstheme="minorHAnsi"/>
          <w:b/>
          <w:sz w:val="28"/>
        </w:rPr>
        <w:t>NASTAVNI PREDMET:  MATEMATIKA</w:t>
      </w:r>
    </w:p>
    <w:p w14:paraId="6C339AC0">
      <w:pPr>
        <w:pStyle w:val="22"/>
        <w:ind w:left="82"/>
        <w:jc w:val="both"/>
        <w:rPr>
          <w:rFonts w:asciiTheme="minorHAnsi" w:hAnsiTheme="minorHAnsi" w:cstheme="minorHAnsi"/>
          <w:b/>
          <w:szCs w:val="22"/>
        </w:rPr>
      </w:pPr>
    </w:p>
    <w:p w14:paraId="12C4A513">
      <w:pPr>
        <w:pStyle w:val="22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>
        <w:rPr>
          <w:rFonts w:asciiTheme="minorHAnsi" w:hAnsiTheme="minorHAnsi" w:cstheme="minorHAnsi"/>
          <w:b/>
          <w:i/>
          <w:sz w:val="28"/>
          <w:szCs w:val="22"/>
        </w:rPr>
        <w:t>Domene  u nastavnome predmetu Matematika jesu:</w:t>
      </w:r>
    </w:p>
    <w:p w14:paraId="1CFD7DFB">
      <w:pPr>
        <w:pStyle w:val="22"/>
        <w:numPr>
          <w:ilvl w:val="0"/>
          <w:numId w:val="12"/>
        </w:numPr>
        <w:jc w:val="both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brojevi</w:t>
      </w:r>
    </w:p>
    <w:p w14:paraId="43D6C2E0">
      <w:pPr>
        <w:pStyle w:val="22"/>
        <w:numPr>
          <w:ilvl w:val="0"/>
          <w:numId w:val="12"/>
        </w:numPr>
        <w:jc w:val="both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algebra i funkcije</w:t>
      </w:r>
    </w:p>
    <w:p w14:paraId="20FEEA29">
      <w:pPr>
        <w:pStyle w:val="22"/>
        <w:numPr>
          <w:ilvl w:val="0"/>
          <w:numId w:val="12"/>
        </w:numPr>
        <w:jc w:val="both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oblik i prostor</w:t>
      </w:r>
    </w:p>
    <w:p w14:paraId="6E69F81D">
      <w:pPr>
        <w:pStyle w:val="22"/>
        <w:numPr>
          <w:ilvl w:val="0"/>
          <w:numId w:val="12"/>
        </w:numPr>
        <w:jc w:val="both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mjerenje</w:t>
      </w:r>
    </w:p>
    <w:p w14:paraId="72606CD7">
      <w:pPr>
        <w:pStyle w:val="22"/>
        <w:numPr>
          <w:ilvl w:val="0"/>
          <w:numId w:val="12"/>
        </w:numPr>
        <w:jc w:val="both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podatci, statistika i vjerojatnost</w:t>
      </w:r>
    </w:p>
    <w:p w14:paraId="783C5B21">
      <w:pPr>
        <w:pStyle w:val="22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>
        <w:rPr>
          <w:rFonts w:asciiTheme="minorHAnsi" w:hAnsiTheme="minorHAnsi" w:cstheme="minorHAnsi"/>
          <w:b/>
          <w:i/>
          <w:sz w:val="28"/>
          <w:szCs w:val="22"/>
        </w:rPr>
        <w:t>Elementi vrednovanja u nastavnome predmetu Matematika jesu:</w:t>
      </w:r>
    </w:p>
    <w:p w14:paraId="3E80F7E6">
      <w:pPr>
        <w:pStyle w:val="22"/>
        <w:ind w:left="82"/>
        <w:rPr>
          <w:rFonts w:asciiTheme="minorHAnsi" w:hAnsiTheme="minorHAnsi" w:cstheme="minorHAnsi"/>
          <w:i/>
          <w:szCs w:val="22"/>
        </w:rPr>
      </w:pPr>
      <w:r>
        <w:rPr>
          <w:rStyle w:val="16"/>
          <w:rFonts w:asciiTheme="minorHAnsi" w:hAnsiTheme="minorHAnsi" w:cstheme="minorHAnsi"/>
          <w:i/>
          <w:szCs w:val="22"/>
        </w:rPr>
        <w:t>1. Usvojenost znanja i vještina:</w:t>
      </w:r>
    </w:p>
    <w:p w14:paraId="74B31695">
      <w:pPr>
        <w:pStyle w:val="22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opisuje matematičke pojmove</w:t>
      </w:r>
    </w:p>
    <w:p w14:paraId="15763EC7">
      <w:pPr>
        <w:pStyle w:val="22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odabire odgovarajuće i matematički ispravne procedure te ih provodi</w:t>
      </w:r>
    </w:p>
    <w:p w14:paraId="74531A74">
      <w:pPr>
        <w:pStyle w:val="22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provjerava ispravnost matematičkih postupaka i utvrđuje smislenost rezultata</w:t>
      </w:r>
    </w:p>
    <w:p w14:paraId="332ABCE4">
      <w:pPr>
        <w:pStyle w:val="22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upotrebljava i povezuje matematičke koncepte.</w:t>
      </w:r>
    </w:p>
    <w:p w14:paraId="099D4E46">
      <w:pPr>
        <w:pStyle w:val="22"/>
        <w:ind w:left="82"/>
        <w:rPr>
          <w:rFonts w:asciiTheme="minorHAnsi" w:hAnsiTheme="minorHAnsi" w:cstheme="minorHAnsi"/>
          <w:i/>
          <w:szCs w:val="22"/>
        </w:rPr>
      </w:pPr>
      <w:r>
        <w:rPr>
          <w:rStyle w:val="16"/>
          <w:rFonts w:asciiTheme="minorHAnsi" w:hAnsiTheme="minorHAnsi" w:cstheme="minorHAnsi"/>
          <w:i/>
          <w:szCs w:val="22"/>
        </w:rPr>
        <w:t>2. Matematička komunikacija:</w:t>
      </w:r>
    </w:p>
    <w:p w14:paraId="72D085EE">
      <w:pPr>
        <w:pStyle w:val="22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koristi se odgovarajućim matematičkim jezikom (standardni matematički simboli, zapisi i terminologija) pri usmenome i pisanome izražavanju</w:t>
      </w:r>
    </w:p>
    <w:p w14:paraId="44AEE5A2">
      <w:pPr>
        <w:pStyle w:val="22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koristi se odgovarajućim matematičkim prikazima za predstavljanje podataka</w:t>
      </w:r>
    </w:p>
    <w:p w14:paraId="04AC6088">
      <w:pPr>
        <w:pStyle w:val="22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prelazi između različitih matematičkih prikaza</w:t>
      </w:r>
    </w:p>
    <w:p w14:paraId="63FFEB5D">
      <w:pPr>
        <w:pStyle w:val="22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svoje razmišljanje iznosi cjelovitim, suvislim i sažetim matematičkim rečenicama</w:t>
      </w:r>
    </w:p>
    <w:p w14:paraId="6BF54432">
      <w:pPr>
        <w:pStyle w:val="22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postavlja pitanja i odgovara na pitanja koja nadilaze opseg izvorno postavljenoga pitanja</w:t>
      </w:r>
    </w:p>
    <w:p w14:paraId="3B462435">
      <w:pPr>
        <w:pStyle w:val="22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organizira informacije u logičku strukturu</w:t>
      </w:r>
    </w:p>
    <w:p w14:paraId="0CE7CA6B">
      <w:pPr>
        <w:pStyle w:val="22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primjereno se koristi tehnologijom.</w:t>
      </w:r>
    </w:p>
    <w:p w14:paraId="334D1116">
      <w:pPr>
        <w:pStyle w:val="22"/>
        <w:ind w:left="82"/>
        <w:rPr>
          <w:rFonts w:asciiTheme="minorHAnsi" w:hAnsiTheme="minorHAnsi" w:cstheme="minorHAnsi"/>
          <w:i/>
          <w:szCs w:val="22"/>
        </w:rPr>
      </w:pPr>
      <w:r>
        <w:rPr>
          <w:rStyle w:val="16"/>
          <w:rFonts w:asciiTheme="minorHAnsi" w:hAnsiTheme="minorHAnsi" w:cstheme="minorHAnsi"/>
          <w:i/>
          <w:szCs w:val="22"/>
        </w:rPr>
        <w:t>3. Rješavanje problema:</w:t>
      </w:r>
    </w:p>
    <w:p w14:paraId="2E9544E5">
      <w:pPr>
        <w:pStyle w:val="22"/>
        <w:numPr>
          <w:ilvl w:val="2"/>
          <w:numId w:val="15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prepoznaje relevantne elemente problema i naslućuje metode rješavanja</w:t>
      </w:r>
    </w:p>
    <w:p w14:paraId="2F80DF1B">
      <w:pPr>
        <w:pStyle w:val="22"/>
        <w:numPr>
          <w:ilvl w:val="2"/>
          <w:numId w:val="15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uspješno primjenjuje odabranu matematičku metodu pri rješavanju problema</w:t>
      </w:r>
    </w:p>
    <w:p w14:paraId="7DFBE772">
      <w:pPr>
        <w:pStyle w:val="22"/>
        <w:numPr>
          <w:ilvl w:val="2"/>
          <w:numId w:val="15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modelira matematičkim zakonitostima problemske situacije uz raspravu</w:t>
      </w:r>
    </w:p>
    <w:p w14:paraId="43EAFC0C">
      <w:pPr>
        <w:pStyle w:val="22"/>
        <w:numPr>
          <w:ilvl w:val="2"/>
          <w:numId w:val="15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ispravno rješava probleme u različitim kontekstima</w:t>
      </w:r>
    </w:p>
    <w:p w14:paraId="28D4271C">
      <w:pPr>
        <w:pStyle w:val="22"/>
        <w:numPr>
          <w:ilvl w:val="2"/>
          <w:numId w:val="15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provjerava ispravnost matematičkih postupaka i utvrđuje smislenost rješenja problema</w:t>
      </w:r>
    </w:p>
    <w:p w14:paraId="6DED3356">
      <w:pPr>
        <w:pStyle w:val="22"/>
        <w:numPr>
          <w:ilvl w:val="2"/>
          <w:numId w:val="15"/>
        </w:numPr>
        <w:ind w:left="709" w:hanging="425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generalizira rješenje.</w:t>
      </w:r>
    </w:p>
    <w:p w14:paraId="3FD76619">
      <w:pPr>
        <w:spacing w:after="0" w:line="240" w:lineRule="auto"/>
        <w:ind w:left="709" w:hanging="425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 xml:space="preserve">Sadržaji vrednovanja </w:t>
      </w:r>
      <w:r>
        <w:rPr>
          <w:rFonts w:eastAsia="Times New Roman" w:cstheme="minorHAnsi"/>
          <w:b/>
          <w:bCs/>
          <w:i/>
          <w:color w:val="232323"/>
          <w:sz w:val="28"/>
          <w:szCs w:val="28"/>
          <w:lang w:eastAsia="hr-HR"/>
        </w:rPr>
        <w:t>u nastavi Matematike su:</w:t>
      </w:r>
    </w:p>
    <w:p w14:paraId="4574B0A9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usmena ispitivanja</w:t>
      </w:r>
    </w:p>
    <w:p w14:paraId="28AA2C98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opažanja izvedbe u nekoj aktivnosti</w:t>
      </w:r>
    </w:p>
    <w:p w14:paraId="237D9DF5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mape radova</w:t>
      </w:r>
    </w:p>
    <w:p w14:paraId="25219892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procjena učeničke rasprave</w:t>
      </w:r>
    </w:p>
    <w:p w14:paraId="14E6E758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učeničkih izvješća</w:t>
      </w:r>
    </w:p>
    <w:p w14:paraId="6C1830FF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>
        <w:rPr>
          <w:rStyle w:val="19"/>
          <w:rFonts w:cstheme="minorHAnsi"/>
          <w:b/>
          <w:sz w:val="28"/>
        </w:rPr>
        <w:t>Tekst u kurzivu je u cijelosti preuzet iz Kurikuluma za Matematiku.</w:t>
      </w:r>
    </w:p>
    <w:p w14:paraId="201704FE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27FCAC1F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4CECEE65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7EA76621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32BD84F9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2ABFE771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5BBA403B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75301FC2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6361FEF9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4CE1F734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04FCA960">
      <w:pPr>
        <w:pStyle w:val="17"/>
        <w:textAlignment w:val="baseline"/>
        <w:rPr>
          <w:rStyle w:val="19"/>
          <w:rFonts w:asciiTheme="minorHAnsi" w:hAnsiTheme="minorHAnsi" w:cstheme="minorHAnsi"/>
          <w:b/>
          <w:sz w:val="28"/>
        </w:rPr>
      </w:pPr>
    </w:p>
    <w:tbl>
      <w:tblPr>
        <w:tblStyle w:val="13"/>
        <w:tblW w:w="16019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4"/>
        <w:gridCol w:w="2962"/>
        <w:gridCol w:w="2510"/>
        <w:gridCol w:w="2501"/>
        <w:gridCol w:w="2500"/>
        <w:gridCol w:w="2912"/>
      </w:tblGrid>
      <w:tr w14:paraId="047A7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right w:val="single" w:color="auto" w:sz="4" w:space="0"/>
            </w:tcBorders>
            <w:shd w:val="clear" w:color="auto" w:fill="C5E0B3" w:themeFill="accent6" w:themeFillTint="66"/>
          </w:tcPr>
          <w:p w14:paraId="6BFA82D7">
            <w:pPr>
              <w:spacing w:after="0" w:line="240" w:lineRule="auto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BROJEVI</w:t>
            </w:r>
          </w:p>
        </w:tc>
      </w:tr>
      <w:tr w14:paraId="4F730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right w:val="single" w:color="auto" w:sz="4" w:space="0"/>
            </w:tcBorders>
            <w:shd w:val="clear" w:color="auto" w:fill="DEEAF6" w:themeFill="accent1" w:themeFillTint="33"/>
          </w:tcPr>
          <w:p w14:paraId="683835C0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A.3.1. Služi se prirodnim brojevima do 10 000 u opisivanju i prikazivanju količine i redoslijeda.</w:t>
            </w:r>
          </w:p>
        </w:tc>
      </w:tr>
      <w:tr w14:paraId="7DB1C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nil"/>
              <w:right w:val="double" w:color="auto" w:sz="12" w:space="0"/>
            </w:tcBorders>
            <w:shd w:val="clear" w:color="auto" w:fill="DEEAF6" w:themeFill="accent1" w:themeFillTint="33"/>
          </w:tcPr>
          <w:p w14:paraId="0B152DDC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468D0260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</w:tcPr>
          <w:p w14:paraId="2AA0F23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</w:tcPr>
          <w:p w14:paraId="7B7923E9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</w:tcPr>
          <w:p w14:paraId="71638C1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</w:tcPr>
          <w:p w14:paraId="1303391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7FE63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598CB3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Broji, čita, zapisuje (brojkom i brojevnom riječi) i uspoređuje brojeve do 10 000.</w:t>
            </w:r>
          </w:p>
          <w:p w14:paraId="37C880F2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2207839B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Učenik ne ostvaruje sastavnicu ishoda „</w:t>
            </w:r>
            <w:r>
              <w:rPr>
                <w:rFonts w:cstheme="minorHAnsi"/>
                <w:i/>
                <w:iCs/>
                <w:sz w:val="24"/>
              </w:rPr>
              <w:t>b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roji, čita, zapisuje (brojkom i brojevnom riječi) i uspoređuje brojeve do      10 000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</w:t>
            </w:r>
          </w:p>
        </w:tc>
        <w:tc>
          <w:tcPr>
            <w:tcW w:w="2515" w:type="dxa"/>
          </w:tcPr>
          <w:p w14:paraId="4F478A91">
            <w:pPr>
              <w:spacing w:after="0" w:line="240" w:lineRule="auto"/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cstheme="minorHAnsi"/>
                <w:sz w:val="24"/>
              </w:rPr>
              <w:t>Uz metodički predložak djelomično čita i zapisuje brojeve do    10 000 brojkama i zadanim brojevnim riječima.</w:t>
            </w:r>
          </w:p>
        </w:tc>
        <w:tc>
          <w:tcPr>
            <w:tcW w:w="2505" w:type="dxa"/>
          </w:tcPr>
          <w:p w14:paraId="63C89CB8">
            <w:pPr>
              <w:spacing w:after="0" w:line="240" w:lineRule="auto"/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lang w:eastAsia="hr-HR"/>
              </w:rPr>
              <w:t xml:space="preserve">Čita uz pomoć i prepisuje brojeve do 10 000 i nulu brojkama i brojevnim riječima. </w:t>
            </w:r>
          </w:p>
          <w:p w14:paraId="205F247D">
            <w:pPr>
              <w:spacing w:after="0" w:line="240" w:lineRule="auto"/>
              <w:ind w:left="82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04" w:type="dxa"/>
          </w:tcPr>
          <w:p w14:paraId="223137EE">
            <w:pPr>
              <w:spacing w:after="0" w:line="240" w:lineRule="auto"/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lang w:eastAsia="hr-HR"/>
              </w:rPr>
              <w:t>Čita i zapisuje brojeve do 10 000 i nulu brojkama i brojevnim riječima uz manje greške.</w:t>
            </w:r>
          </w:p>
          <w:p w14:paraId="24B94A3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924" w:type="dxa"/>
          </w:tcPr>
          <w:p w14:paraId="553B6D51">
            <w:pPr>
              <w:spacing w:after="0" w:line="240" w:lineRule="auto"/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lang w:eastAsia="hr-HR"/>
              </w:rPr>
              <w:t xml:space="preserve">Brzo i točno čita i zapisuje brojeve do 10 000 i nulu brojkama i brojevnim riječima. </w:t>
            </w:r>
          </w:p>
          <w:p w14:paraId="42638B5C">
            <w:pPr>
              <w:spacing w:after="0" w:line="240" w:lineRule="auto"/>
              <w:rPr>
                <w:rFonts w:cstheme="minorHAnsi"/>
                <w:b/>
                <w:sz w:val="24"/>
              </w:rPr>
            </w:pPr>
          </w:p>
        </w:tc>
      </w:tr>
      <w:tr w14:paraId="241A8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5A1D9B73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upotrebljava troznamenkaste i četveroznamenkaste brojeve. 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3CE169A3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„p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rikazuje i upotrebljava troznamenkaste i četveroznamenkaste brojeve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E9E6A68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navođenje prikazuje troznamenkaste i četveroznamenkaste brojeve.</w:t>
            </w:r>
          </w:p>
        </w:tc>
        <w:tc>
          <w:tcPr>
            <w:tcW w:w="2505" w:type="dxa"/>
          </w:tcPr>
          <w:p w14:paraId="5062A045">
            <w:pPr>
              <w:spacing w:after="0" w:line="240" w:lineRule="auto"/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pogreške prikazuje i upotrebljava troznamenkaste i četveroznamenkaste brojeve.</w:t>
            </w:r>
          </w:p>
        </w:tc>
        <w:tc>
          <w:tcPr>
            <w:tcW w:w="2504" w:type="dxa"/>
          </w:tcPr>
          <w:p w14:paraId="72AB6369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Prikazuje i upotrebljava troznamenkaste i četveroznamenkaste brojeve.</w:t>
            </w:r>
          </w:p>
        </w:tc>
        <w:tc>
          <w:tcPr>
            <w:tcW w:w="2924" w:type="dxa"/>
          </w:tcPr>
          <w:p w14:paraId="3411A603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Samostalno, brzo i točno prikazuje i upotrebljava troznamenkaste i četveroznamenkaste brojeve.</w:t>
            </w:r>
          </w:p>
        </w:tc>
      </w:tr>
      <w:tr w14:paraId="7169A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2CF52CC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Koristi se tablicom mjesnih vrijednosti.</w:t>
            </w:r>
          </w:p>
          <w:p w14:paraId="5034EA23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190719E2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koristi se tablicom mjesnih vrijednosti“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4078AC6C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sz w:val="24"/>
                <w:lang w:eastAsia="hr-HR"/>
              </w:rPr>
              <w:t>Teško i uz stalnu pomoć uočava razlike među dekadskim jedinicama te njihovom smještaju u tablici mjesnih vrijednosti.</w:t>
            </w:r>
          </w:p>
        </w:tc>
        <w:tc>
          <w:tcPr>
            <w:tcW w:w="2505" w:type="dxa"/>
          </w:tcPr>
          <w:p w14:paraId="707B8359">
            <w:pPr>
              <w:spacing w:after="0" w:line="240" w:lineRule="auto"/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poticaje prikazuje brojeve u tablici mjesnih vrijednosti.</w:t>
            </w:r>
          </w:p>
        </w:tc>
        <w:tc>
          <w:tcPr>
            <w:tcW w:w="2504" w:type="dxa"/>
          </w:tcPr>
          <w:p w14:paraId="17E88C62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Prikazuje brojeve u tablici mjesnih vrijednosti.</w:t>
            </w:r>
          </w:p>
        </w:tc>
        <w:tc>
          <w:tcPr>
            <w:tcW w:w="2924" w:type="dxa"/>
          </w:tcPr>
          <w:p w14:paraId="4F5E582D">
            <w:pPr>
              <w:spacing w:after="0" w:line="240" w:lineRule="auto"/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cstheme="minorHAnsi"/>
                <w:sz w:val="24"/>
              </w:rPr>
              <w:t>Lako i brzo uočava odnose među dekadskim jedinicama samostalno ih smještajući u tablicu mjesnih vrijednosti.</w:t>
            </w:r>
          </w:p>
        </w:tc>
      </w:tr>
      <w:tr w14:paraId="5F9D7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2B2F705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dekadskim sustavom brojeva.</w:t>
            </w:r>
          </w:p>
          <w:p w14:paraId="42A50AEB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50A0AEB7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služi se dekadskim sustavom brojeva“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F5B780D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dekadskim sustavom brojeva uz povremene greške.</w:t>
            </w:r>
          </w:p>
        </w:tc>
        <w:tc>
          <w:tcPr>
            <w:tcW w:w="2505" w:type="dxa"/>
          </w:tcPr>
          <w:p w14:paraId="6CF21F7D">
            <w:pPr>
              <w:spacing w:after="0" w:line="240" w:lineRule="auto"/>
              <w:ind w:left="30"/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dekadskim sustavom brojeva.</w:t>
            </w:r>
          </w:p>
        </w:tc>
        <w:tc>
          <w:tcPr>
            <w:tcW w:w="2504" w:type="dxa"/>
          </w:tcPr>
          <w:p w14:paraId="1279D7B0">
            <w:pPr>
              <w:spacing w:after="0" w:line="240" w:lineRule="auto"/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Razvrstava brojeve dekadskog sustava po zadanim kriterijima.</w:t>
            </w:r>
          </w:p>
        </w:tc>
        <w:tc>
          <w:tcPr>
            <w:tcW w:w="2924" w:type="dxa"/>
          </w:tcPr>
          <w:p w14:paraId="26066D58">
            <w:pPr>
              <w:spacing w:after="0" w:line="240" w:lineRule="auto"/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objašnjava način i pravilo nizanja brojeva u dekadskom sustavu brojeva.</w:t>
            </w:r>
          </w:p>
        </w:tc>
      </w:tr>
      <w:tr w14:paraId="424FE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143949E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Rastavlja broj na zbroj višekratnika dekadskih jedinica.</w:t>
            </w:r>
          </w:p>
          <w:p w14:paraId="37ECD0E3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13167487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rastavlja broj na zbroj višekratnika dekadskih jedinica“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0770E21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Rastavlja broj na zbroj višekratnika dekadskih jedinica dovršavajući zadane primjere.</w:t>
            </w:r>
          </w:p>
          <w:p w14:paraId="5F810D46">
            <w:pPr>
              <w:spacing w:after="0" w:line="240" w:lineRule="auto"/>
              <w:rPr>
                <w:rFonts w:cstheme="minorHAnsi"/>
                <w:sz w:val="24"/>
              </w:rPr>
            </w:pPr>
          </w:p>
        </w:tc>
        <w:tc>
          <w:tcPr>
            <w:tcW w:w="2505" w:type="dxa"/>
          </w:tcPr>
          <w:p w14:paraId="13AA55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Rastavlja broj na zbroj višekratnika dekadskih jedinica uz povremene poticaje.</w:t>
            </w:r>
          </w:p>
          <w:p w14:paraId="74E7130A">
            <w:pPr>
              <w:spacing w:after="0" w:line="240" w:lineRule="auto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04" w:type="dxa"/>
          </w:tcPr>
          <w:p w14:paraId="3F6960F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Rastavlja broj na zbroj višekratnika dekadskih jedinica.</w:t>
            </w:r>
          </w:p>
          <w:p w14:paraId="5FD253F4">
            <w:pPr>
              <w:spacing w:after="0" w:line="240" w:lineRule="auto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24" w:type="dxa"/>
          </w:tcPr>
          <w:p w14:paraId="22EB9215">
            <w:pPr>
              <w:spacing w:after="0" w:line="240" w:lineRule="auto"/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Rastavlja broj na zbroj višekratnika dekadskih jedinica te algoritam rastavljanja primjenjuje u rješavanju povezanih matematičkih problema.</w:t>
            </w:r>
          </w:p>
        </w:tc>
      </w:tr>
      <w:tr w14:paraId="629B3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18" w:space="0"/>
              <w:right w:val="double" w:color="auto" w:sz="12" w:space="0"/>
            </w:tcBorders>
          </w:tcPr>
          <w:p w14:paraId="32B4A84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pojedinih znamenaka.</w:t>
            </w:r>
          </w:p>
          <w:p w14:paraId="0F29E494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18" w:space="0"/>
            </w:tcBorders>
          </w:tcPr>
          <w:p w14:paraId="5532ACA0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„o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dređuje mjesne vrijednosti pojedinih znamenaka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18" w:space="0"/>
            </w:tcBorders>
          </w:tcPr>
          <w:p w14:paraId="136241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znamenaka samo uz pomoć tablice mjesnih vrijednosti.</w:t>
            </w:r>
          </w:p>
          <w:p w14:paraId="14154C12">
            <w:pPr>
              <w:spacing w:after="0" w:line="240" w:lineRule="auto"/>
              <w:rPr>
                <w:rFonts w:cstheme="minorHAnsi"/>
                <w:sz w:val="24"/>
              </w:rPr>
            </w:pPr>
          </w:p>
        </w:tc>
        <w:tc>
          <w:tcPr>
            <w:tcW w:w="2505" w:type="dxa"/>
            <w:tcBorders>
              <w:bottom w:val="single" w:color="auto" w:sz="18" w:space="0"/>
            </w:tcBorders>
          </w:tcPr>
          <w:p w14:paraId="70DE189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pojedinih znamenaka.</w:t>
            </w:r>
          </w:p>
          <w:p w14:paraId="10140F21">
            <w:pPr>
              <w:spacing w:after="0" w:line="240" w:lineRule="auto"/>
              <w:rPr>
                <w:rFonts w:cstheme="minorHAnsi"/>
                <w:sz w:val="24"/>
              </w:rPr>
            </w:pPr>
          </w:p>
        </w:tc>
        <w:tc>
          <w:tcPr>
            <w:tcW w:w="2504" w:type="dxa"/>
            <w:tcBorders>
              <w:bottom w:val="single" w:color="auto" w:sz="18" w:space="0"/>
            </w:tcBorders>
          </w:tcPr>
          <w:p w14:paraId="0C64DE7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tablicu mjesnih vrijednosti i u njoj prikazuje zadane brojeve.</w:t>
            </w:r>
          </w:p>
          <w:p w14:paraId="6C952E7E">
            <w:pPr>
              <w:spacing w:after="0" w:line="240" w:lineRule="auto"/>
              <w:ind w:left="27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color="auto" w:sz="18" w:space="0"/>
            </w:tcBorders>
          </w:tcPr>
          <w:p w14:paraId="16A6055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samostalno crta tablicu mjesnih vrijednosti i u njoj prikazuje zadane brojeve.</w:t>
            </w:r>
          </w:p>
          <w:p w14:paraId="322578E2">
            <w:pPr>
              <w:spacing w:after="0" w:line="240" w:lineRule="auto"/>
              <w:rPr>
                <w:rFonts w:eastAsia="Times New Roman" w:cstheme="minorHAnsi"/>
                <w:sz w:val="24"/>
                <w:lang w:eastAsia="hr-HR"/>
              </w:rPr>
            </w:pPr>
          </w:p>
        </w:tc>
      </w:tr>
      <w:tr w14:paraId="51FC7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top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77ECC98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A.3.2. Zbraja i oduzima u skupu prirodnih brojeva do 1000.</w:t>
            </w:r>
          </w:p>
        </w:tc>
      </w:tr>
      <w:tr w14:paraId="7E9B4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5EADD5B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color="auto" w:sz="4" w:space="0"/>
              <w:left w:val="double" w:color="auto" w:sz="12" w:space="0"/>
            </w:tcBorders>
          </w:tcPr>
          <w:p w14:paraId="4DEDA92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color="auto" w:sz="4" w:space="0"/>
            </w:tcBorders>
          </w:tcPr>
          <w:p w14:paraId="317EE974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color="auto" w:sz="4" w:space="0"/>
            </w:tcBorders>
          </w:tcPr>
          <w:p w14:paraId="6CCEC80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color="auto" w:sz="4" w:space="0"/>
            </w:tcBorders>
          </w:tcPr>
          <w:p w14:paraId="53DC99EC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color="auto" w:sz="4" w:space="0"/>
            </w:tcBorders>
          </w:tcPr>
          <w:p w14:paraId="5109C36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007D3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25AD3CA2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Određuje mjesnu vrijednost znamenaka u troznamenkastome broju.</w:t>
            </w: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01FBD9D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„o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dređuje mjesnu vrijednost znamenaka u troznamenkastome broju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7885B09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znamenaka u troznamenkastome samo uz pomoć tablice mjesnih vrijednosti.</w:t>
            </w:r>
          </w:p>
          <w:p w14:paraId="35DFB49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3BD5A8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znamenaka troznamenkastih brojeva.</w:t>
            </w:r>
          </w:p>
          <w:p w14:paraId="621ED46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0EA41C5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tablicu mjesnih vrijednosti i u njoj prikazuje zadane troznamenkaste brojeve.</w:t>
            </w:r>
          </w:p>
          <w:p w14:paraId="53C746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48DF992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samostalno crta tablicu mjesnih vrijednosti i u njoj prikazuje troznamenkaste brojeve, navedene sadržaje povezuje sa zbrajanjem višekratnika dekadskih jedinica.</w:t>
            </w:r>
          </w:p>
          <w:p w14:paraId="1EFA398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5216D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nil"/>
              <w:right w:val="double" w:color="auto" w:sz="12" w:space="0"/>
            </w:tcBorders>
          </w:tcPr>
          <w:p w14:paraId="09F63A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Mentalno zbraja i oduzima brojeve do </w:t>
            </w:r>
          </w:p>
          <w:p w14:paraId="3269682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1 000.</w:t>
            </w:r>
          </w:p>
          <w:p w14:paraId="5DC8FCDB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nil"/>
            </w:tcBorders>
          </w:tcPr>
          <w:p w14:paraId="0299449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mentalno zbraja i oduzima brojeve do 1 000“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nil"/>
            </w:tcBorders>
          </w:tcPr>
          <w:p w14:paraId="591A244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 xml:space="preserve">Metodom pokušaja i pogrešaka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mentalno zbraja i oduzima u skupu brojeva do </w:t>
            </w:r>
          </w:p>
          <w:p w14:paraId="4CE90A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1 000.</w:t>
            </w:r>
          </w:p>
        </w:tc>
        <w:tc>
          <w:tcPr>
            <w:tcW w:w="2505" w:type="dxa"/>
            <w:tcBorders>
              <w:bottom w:val="nil"/>
            </w:tcBorders>
          </w:tcPr>
          <w:p w14:paraId="6F32920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mentalno zbraja i oduzima u skupu brojeva do 1 000.</w:t>
            </w:r>
          </w:p>
          <w:p w14:paraId="2341F2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nil"/>
            </w:tcBorders>
          </w:tcPr>
          <w:p w14:paraId="0219140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mentalno zbraja i oduzima u skupu brojeva do 1 000.</w:t>
            </w:r>
          </w:p>
          <w:p w14:paraId="3411848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nil"/>
            </w:tcBorders>
          </w:tcPr>
          <w:p w14:paraId="1722F3C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Brzo, sigurno i točno mentalno zbraja i oduzima u skupu brojeva do 1 000.</w:t>
            </w:r>
          </w:p>
          <w:p w14:paraId="1F170B3D">
            <w:pPr>
              <w:spacing w:after="0" w:line="240" w:lineRule="auto"/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2D7A7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2EA8040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svojstvo komutativnosti i vezu zbrajanja i oduzimanja. </w:t>
            </w:r>
          </w:p>
          <w:p w14:paraId="51B09753">
            <w:pPr>
              <w:spacing w:after="0" w:line="240" w:lineRule="auto"/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7EAA3326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primjenjuje svojstvo komutativnosti te vezu zbrajanja i oduzimanja“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62793D8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i vezu zbrajanja i oduzimanja završavajući započete jednostavne primjere i uz pomoć učitelja.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60394BB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na različite načine isključivo prema riješenim modelima zadataka, uočava vezu zbrajanja i oduzimanja no ne uočava njezinu konkretnu primjenu.</w:t>
            </w: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111A7AC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na različite načine uz manje greške i pomoć, uočava vezu zbrajanja i oduzimanja te se njome služi uz poticaj.</w:t>
            </w: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65BD25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pravilo komutativnosti i primjenjuje ga</w:t>
            </w:r>
          </w:p>
          <w:p w14:paraId="3FE41EB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točno, koristi se vezom zbrajanja i oduzimanja olakšavajući si rješavanje zadataka.</w:t>
            </w:r>
          </w:p>
        </w:tc>
      </w:tr>
      <w:tr w14:paraId="01307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41B30C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Procjenjuje rezultat zbrajanja i oduzimanja.</w:t>
            </w:r>
          </w:p>
          <w:p w14:paraId="4D67B99C">
            <w:pPr>
              <w:spacing w:after="0" w:line="240" w:lineRule="auto"/>
              <w:ind w:left="37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1F48859E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procjenjuje rezultat zbrajanja i oduzimanja“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3C3AC01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Procjenjuje rezultat zbrajanja i oduzimanja samo na najočitijim primjerima i uz navođenje.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687F6C6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Procjenjuje rezultat zbrajanja i oduzimanja samo na najočitijim primjerima.</w:t>
            </w:r>
          </w:p>
          <w:p w14:paraId="34E8D7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7B6E1F0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precizno procjenjuje rezultat zbrajanja i oduzimanja.</w:t>
            </w:r>
          </w:p>
          <w:p w14:paraId="639F2C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6C8D3B8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Precizno procjenjuje rezultat zbrajanja i oduzimanja u zadanim zadatcima te se dobivenom procjenom koristi pri rješavanju zadataka</w:t>
            </w:r>
          </w:p>
        </w:tc>
      </w:tr>
      <w:tr w14:paraId="1F036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204756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Pisano zbraja i oduzima primjenjujući odgovarajući matematički zapis.</w:t>
            </w:r>
          </w:p>
          <w:p w14:paraId="58843B4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63E36B2F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„p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isano zbraja i oduzima primjenjujući odgovarajući matematički zapis“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2693DA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primjenjuje odgovarajući matematički zapis te, uz navođenje, pisano zbraja i oduzima.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112293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pogreške i sugestije pisano zbraja i oduzima primjenjujući odgovarajući matematički zapis.</w:t>
            </w: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0BD033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Pisano zbraja i oduzima primjenjujući odgovarajući matematički zapis.</w:t>
            </w:r>
          </w:p>
          <w:p w14:paraId="767D91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179618C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Brzo i točno pisano zbraja i oduzima primjenjujući odgovarajući matematički zapis.</w:t>
            </w:r>
          </w:p>
          <w:p w14:paraId="4A399B3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4075E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0A842ED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operacija.</w:t>
            </w:r>
          </w:p>
          <w:p w14:paraId="1C06F2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519A54BC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„i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menuje članove računskih operacija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668BBEB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imenuje članove u zbrajanju i oduzimanju.</w:t>
            </w:r>
          </w:p>
          <w:p w14:paraId="28B18C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7E643D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u zbrajanju i oduzimanju.</w:t>
            </w:r>
          </w:p>
          <w:p w14:paraId="3E6C0E1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52667FB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rješava tekstualne zadatke u kojima se pojavljuju imena članova zbrajanja i oduzimanja.</w:t>
            </w: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413F9CF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 kojima se pojavljuju imena članova u zbrajanju i oduzimanju te iste koristi u komunikaciji na satu.</w:t>
            </w:r>
          </w:p>
        </w:tc>
      </w:tr>
      <w:tr w14:paraId="6574B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5B4AB5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zadatke.</w:t>
            </w: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5C1AA384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rješava tekstualne zadatke“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04FFD68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isključivo uz stalnu asistenciju i pomoć pri postavljanju zadatka.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65D6794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s nestalnom razinom točnosti.</w:t>
            </w: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6FF83A8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manje nesigurnosti.</w:t>
            </w: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20EAA97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14:paraId="00DDE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3C78C9A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A.3.3. Dijeli prirodne brojeve do 100 s ostatkom.</w:t>
            </w:r>
          </w:p>
        </w:tc>
      </w:tr>
      <w:tr w14:paraId="62A9F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5B8DB18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color="auto" w:sz="4" w:space="0"/>
              <w:left w:val="double" w:color="auto" w:sz="12" w:space="0"/>
            </w:tcBorders>
          </w:tcPr>
          <w:p w14:paraId="65E04C4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color="auto" w:sz="4" w:space="0"/>
            </w:tcBorders>
          </w:tcPr>
          <w:p w14:paraId="68DC1D7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color="auto" w:sz="4" w:space="0"/>
            </w:tcBorders>
          </w:tcPr>
          <w:p w14:paraId="5F63ED0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color="auto" w:sz="4" w:space="0"/>
            </w:tcBorders>
          </w:tcPr>
          <w:p w14:paraId="1788C3E4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color="auto" w:sz="4" w:space="0"/>
            </w:tcBorders>
          </w:tcPr>
          <w:p w14:paraId="74CFCA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1BB7C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53753A4B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Dijeli brojeve do 100 s ostatkom. </w:t>
            </w:r>
          </w:p>
          <w:p w14:paraId="2E740798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34542098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„d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ijeli brojeve do 100 s ostatkom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D3C29F6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podršku učitelja dijeli brojeve do 100 s ostatkom. </w:t>
            </w:r>
          </w:p>
          <w:p w14:paraId="1A7340E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28229670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Dijeli brojeve do 100 s ostatkom sporo i nesigurno. </w:t>
            </w:r>
          </w:p>
          <w:p w14:paraId="528DEE6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51F218E2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dijeli brojeve do 100 </w:t>
            </w:r>
          </w:p>
          <w:p w14:paraId="29FEE0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4FB179E8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Brzo i samostalno dijeli brojeve do 100 s ostatkom. </w:t>
            </w:r>
          </w:p>
          <w:p w14:paraId="3205987D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</w:tr>
      <w:tr w14:paraId="0BC6F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2B75595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Provjerava rješenje pri dijeljenju s ostatkom.</w:t>
            </w:r>
          </w:p>
          <w:p w14:paraId="743BAE13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30921267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provjerava rješenje pri dijeljenju s ostatkom“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6ED8CAD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stalno podsjećanje povezuje množenje kao dijeljenju suprotnu računsku radnju.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1690ED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Provjerava rješenje pri dijeljenju zaboravljajući umnošku pridružiti ostatak.</w:t>
            </w:r>
          </w:p>
          <w:p w14:paraId="0DEB6B2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6A961C1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Provjerava rješenje pri dijeljenju s ostatkom.</w:t>
            </w:r>
          </w:p>
          <w:p w14:paraId="1B79D2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2B7D94E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provjerava rješenje pri dijeljenju s ostatkom.</w:t>
            </w:r>
          </w:p>
        </w:tc>
      </w:tr>
      <w:tr w14:paraId="65F72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12" w:space="0"/>
              <w:right w:val="double" w:color="auto" w:sz="12" w:space="0"/>
            </w:tcBorders>
          </w:tcPr>
          <w:p w14:paraId="69F35BFD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zadatke.</w:t>
            </w:r>
          </w:p>
        </w:tc>
        <w:tc>
          <w:tcPr>
            <w:tcW w:w="2937" w:type="dxa"/>
            <w:tcBorders>
              <w:left w:val="double" w:color="auto" w:sz="12" w:space="0"/>
              <w:bottom w:val="single" w:color="auto" w:sz="12" w:space="0"/>
            </w:tcBorders>
          </w:tcPr>
          <w:p w14:paraId="381CE721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rješava tekstualne zadatke“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12" w:space="0"/>
            </w:tcBorders>
          </w:tcPr>
          <w:p w14:paraId="47DBBE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isključivo uz stalnu asistenciju i pomoć pri postavljanju zadatka.</w:t>
            </w:r>
          </w:p>
        </w:tc>
        <w:tc>
          <w:tcPr>
            <w:tcW w:w="2505" w:type="dxa"/>
            <w:tcBorders>
              <w:bottom w:val="single" w:color="auto" w:sz="12" w:space="0"/>
            </w:tcBorders>
          </w:tcPr>
          <w:p w14:paraId="541E47E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za nestalnom razinom točnosti.</w:t>
            </w:r>
          </w:p>
        </w:tc>
        <w:tc>
          <w:tcPr>
            <w:tcW w:w="2504" w:type="dxa"/>
            <w:tcBorders>
              <w:bottom w:val="single" w:color="auto" w:sz="12" w:space="0"/>
            </w:tcBorders>
          </w:tcPr>
          <w:p w14:paraId="28B890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manju nesigurnost.</w:t>
            </w:r>
          </w:p>
        </w:tc>
        <w:tc>
          <w:tcPr>
            <w:tcW w:w="2924" w:type="dxa"/>
            <w:tcBorders>
              <w:bottom w:val="single" w:color="auto" w:sz="12" w:space="0"/>
            </w:tcBorders>
          </w:tcPr>
          <w:p w14:paraId="4B8C71D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14:paraId="39FE7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top w:val="single" w:color="auto" w:sz="12" w:space="0"/>
              <w:right w:val="single" w:color="auto" w:sz="4" w:space="0"/>
            </w:tcBorders>
            <w:shd w:val="clear" w:color="auto" w:fill="DEEAF6" w:themeFill="accent1" w:themeFillTint="33"/>
          </w:tcPr>
          <w:p w14:paraId="55ABC70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A.3.4. Pisano množi i dijeli prirodne brojeve do 1000 jednoznamenkastim brojem.</w:t>
            </w:r>
          </w:p>
        </w:tc>
      </w:tr>
      <w:tr w14:paraId="532A0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7171782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color="auto" w:sz="4" w:space="0"/>
              <w:left w:val="double" w:color="auto" w:sz="12" w:space="0"/>
            </w:tcBorders>
          </w:tcPr>
          <w:p w14:paraId="291C7DB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color="auto" w:sz="4" w:space="0"/>
            </w:tcBorders>
          </w:tcPr>
          <w:p w14:paraId="45108D6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color="auto" w:sz="4" w:space="0"/>
            </w:tcBorders>
          </w:tcPr>
          <w:p w14:paraId="270DAF24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color="auto" w:sz="4" w:space="0"/>
            </w:tcBorders>
          </w:tcPr>
          <w:p w14:paraId="5304C22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color="auto" w:sz="4" w:space="0"/>
            </w:tcBorders>
          </w:tcPr>
          <w:p w14:paraId="789A5133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6D3C6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4A90F89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odgovarajući matematički zapis pisanoga množenja i dijeljenja.</w:t>
            </w:r>
          </w:p>
          <w:p w14:paraId="0D5C22B0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22AB70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„p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rimjenjuje odgovarajući matematički zapis pisanoga množenja i dijeljenja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618671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sugestije učitelja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rimjenjuje odgovarajući matematički zapis pisanoga množenja i dijeljenja.</w:t>
            </w:r>
          </w:p>
        </w:tc>
        <w:tc>
          <w:tcPr>
            <w:tcW w:w="2505" w:type="dxa"/>
          </w:tcPr>
          <w:p w14:paraId="113827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poticaje primjenjuje odgovarajući matematički zapis pisanoga množenja i dijeljenja.</w:t>
            </w:r>
          </w:p>
        </w:tc>
        <w:tc>
          <w:tcPr>
            <w:tcW w:w="2504" w:type="dxa"/>
          </w:tcPr>
          <w:p w14:paraId="3D583EF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odgovarajući matematički zapis pisanoga množenja i dijeljenja.</w:t>
            </w:r>
          </w:p>
          <w:p w14:paraId="3261E83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5CD0C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rabi odgovarajući matematički zapis pisanoga množenja i dijeljenja.</w:t>
            </w:r>
          </w:p>
          <w:p w14:paraId="7115D2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0B6B2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0B55EF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(komutativnost i distributivnost).</w:t>
            </w:r>
          </w:p>
          <w:p w14:paraId="40581EEF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0FA77C7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„p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rimjenjuje svojstva računskih operacija (komutativnost i distributivnost)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75D7E5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vođenje primjenjuje svojstva računskih operacija.</w:t>
            </w:r>
          </w:p>
        </w:tc>
        <w:tc>
          <w:tcPr>
            <w:tcW w:w="2505" w:type="dxa"/>
          </w:tcPr>
          <w:p w14:paraId="26D2097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komutativnosti i distributivnosti ne koristeći ih samostalno prilikom rješavanja zadataka.</w:t>
            </w:r>
          </w:p>
          <w:p w14:paraId="48C4F5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4719482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komutativnosti i distributivnosti.</w:t>
            </w:r>
          </w:p>
        </w:tc>
        <w:tc>
          <w:tcPr>
            <w:tcW w:w="2924" w:type="dxa"/>
          </w:tcPr>
          <w:p w14:paraId="495202D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 komutativnost i distributivnost prilikom računanja.</w:t>
            </w:r>
          </w:p>
          <w:p w14:paraId="2FF2A9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2C6AA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44F7794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veze između računskih operacija.</w:t>
            </w:r>
          </w:p>
          <w:p w14:paraId="29299F25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3CCB201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primjenjuje veze između računskih operacija“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79BD1E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navođenje i dovršavajući započete primjere 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veze množenja i dijeljenja.</w:t>
            </w:r>
          </w:p>
        </w:tc>
        <w:tc>
          <w:tcPr>
            <w:tcW w:w="2505" w:type="dxa"/>
          </w:tcPr>
          <w:p w14:paraId="3C9BB04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Dovršavajući započete primjere uočava veze između množenja i dijeljenja.</w:t>
            </w:r>
          </w:p>
          <w:p w14:paraId="0FD13F5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4" w:type="dxa"/>
          </w:tcPr>
          <w:p w14:paraId="0745E4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ali uz poticaj primjenjuje veze između množenja i dijeljenja.</w:t>
            </w:r>
          </w:p>
          <w:p w14:paraId="69771EE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19E9764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 veze između množenja i dijeljenja olakšavajući si računanje.</w:t>
            </w:r>
          </w:p>
        </w:tc>
      </w:tr>
      <w:tr w14:paraId="444C5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10CD39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 brojevima 10, 100 i 1000.</w:t>
            </w:r>
          </w:p>
          <w:p w14:paraId="11F6A672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3E5C12B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i dijeli broj brojevima 10, 100 i 1 000“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3D1B575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brojevima 10, 100 i 1 000 uz djelomičnu točnost.</w:t>
            </w:r>
          </w:p>
          <w:p w14:paraId="6D4601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5CF22B3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brojevima 10, 100 i 1 000  uz manje nesigurnosti.</w:t>
            </w:r>
          </w:p>
          <w:p w14:paraId="31BDB00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551642C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Množi i dijeli brojevima 10, 100 i 1 000. </w:t>
            </w: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4EA64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Točno, sigurno i brzo množi i dijeli brojevima 10, 100 i </w:t>
            </w:r>
          </w:p>
          <w:p w14:paraId="550C71D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1 000.</w:t>
            </w:r>
          </w:p>
          <w:p w14:paraId="520C7E0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29D9B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12" w:space="0"/>
              <w:right w:val="double" w:color="auto" w:sz="12" w:space="0"/>
            </w:tcBorders>
          </w:tcPr>
          <w:p w14:paraId="40A0CC11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Pisano dijeli na dulji i kraći način.</w:t>
            </w:r>
          </w:p>
        </w:tc>
        <w:tc>
          <w:tcPr>
            <w:tcW w:w="2937" w:type="dxa"/>
            <w:tcBorders>
              <w:left w:val="double" w:color="auto" w:sz="12" w:space="0"/>
              <w:bottom w:val="single" w:color="auto" w:sz="12" w:space="0"/>
            </w:tcBorders>
          </w:tcPr>
          <w:p w14:paraId="73C16DC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pisano dijeli na dulji i kraći način“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12" w:space="0"/>
            </w:tcBorders>
          </w:tcPr>
          <w:p w14:paraId="5E9D88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Isključivo uz vođenje učitelja pisano dijeli na dulji način.</w:t>
            </w:r>
          </w:p>
        </w:tc>
        <w:tc>
          <w:tcPr>
            <w:tcW w:w="2505" w:type="dxa"/>
            <w:tcBorders>
              <w:bottom w:val="single" w:color="auto" w:sz="12" w:space="0"/>
            </w:tcBorders>
          </w:tcPr>
          <w:p w14:paraId="5C78E78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Pisano dijeli na dulji i kraći način uz povremene intervencije učitelja.</w:t>
            </w:r>
          </w:p>
        </w:tc>
        <w:tc>
          <w:tcPr>
            <w:tcW w:w="2504" w:type="dxa"/>
            <w:tcBorders>
              <w:bottom w:val="single" w:color="auto" w:sz="12" w:space="0"/>
            </w:tcBorders>
          </w:tcPr>
          <w:p w14:paraId="25574E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Pisano dijeli na kraći način uz manje nesigurnosti i podršku učitelja.</w:t>
            </w:r>
          </w:p>
        </w:tc>
        <w:tc>
          <w:tcPr>
            <w:tcW w:w="2924" w:type="dxa"/>
            <w:tcBorders>
              <w:bottom w:val="single" w:color="auto" w:sz="12" w:space="0"/>
            </w:tcBorders>
          </w:tcPr>
          <w:p w14:paraId="217BEA5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pisano dijeli na kraći način.</w:t>
            </w:r>
          </w:p>
        </w:tc>
      </w:tr>
      <w:tr w14:paraId="0B66B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top w:val="single" w:color="auto" w:sz="12" w:space="0"/>
              <w:right w:val="single" w:color="auto" w:sz="4" w:space="0"/>
            </w:tcBorders>
            <w:shd w:val="clear" w:color="auto" w:fill="DEEAF6" w:themeFill="accent1" w:themeFillTint="33"/>
          </w:tcPr>
          <w:p w14:paraId="1F8D50E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A.3.5. Izvodi više računskih operacija.</w:t>
            </w:r>
          </w:p>
        </w:tc>
      </w:tr>
      <w:tr w14:paraId="164B5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7DDA8B8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color="auto" w:sz="4" w:space="0"/>
              <w:left w:val="double" w:color="auto" w:sz="12" w:space="0"/>
            </w:tcBorders>
          </w:tcPr>
          <w:p w14:paraId="4427884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color="auto" w:sz="4" w:space="0"/>
            </w:tcBorders>
          </w:tcPr>
          <w:p w14:paraId="3BA38AD2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color="auto" w:sz="4" w:space="0"/>
            </w:tcBorders>
          </w:tcPr>
          <w:p w14:paraId="0C11664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color="auto" w:sz="4" w:space="0"/>
            </w:tcBorders>
          </w:tcPr>
          <w:p w14:paraId="128D1F9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color="auto" w:sz="4" w:space="0"/>
            </w:tcBorders>
          </w:tcPr>
          <w:p w14:paraId="4B019203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649FB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12B10B1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vrijednosti izraza sa zagradama.</w:t>
            </w:r>
          </w:p>
          <w:p w14:paraId="62B1C16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585459DD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vrijednosti izraza sa zagradama“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70852E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određuje vrijednosti izraza sa zagradama.</w:t>
            </w:r>
          </w:p>
        </w:tc>
        <w:tc>
          <w:tcPr>
            <w:tcW w:w="2505" w:type="dxa"/>
          </w:tcPr>
          <w:p w14:paraId="5560EC5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opetovanim smjernicama rješava zadatke sa zagradama.</w:t>
            </w:r>
          </w:p>
        </w:tc>
        <w:tc>
          <w:tcPr>
            <w:tcW w:w="2504" w:type="dxa"/>
          </w:tcPr>
          <w:p w14:paraId="74EBDCD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zadatke sa zagradama.</w:t>
            </w:r>
          </w:p>
        </w:tc>
        <w:tc>
          <w:tcPr>
            <w:tcW w:w="2924" w:type="dxa"/>
          </w:tcPr>
          <w:p w14:paraId="3B31128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pravila računanja sa zagradama, primjenjuje ih, te lako i brzo računa zadane zadatke.</w:t>
            </w:r>
          </w:p>
        </w:tc>
      </w:tr>
      <w:tr w14:paraId="618D4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4019FF4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vrijednosti izraza s više računskih operacija.</w:t>
            </w:r>
          </w:p>
          <w:p w14:paraId="0737E270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05F69B90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vrijednosti izraza s više računskih operacija“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70713DFA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Uz pomoć učitelja računa zadatke s više računskih radnji uz podsjećanja na pravila računanja.</w:t>
            </w:r>
          </w:p>
        </w:tc>
        <w:tc>
          <w:tcPr>
            <w:tcW w:w="2505" w:type="dxa"/>
          </w:tcPr>
          <w:p w14:paraId="43638905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Djelomično točno računa zadatke s više računskih radnji uz podsjećanja na pravila računanja.</w:t>
            </w:r>
          </w:p>
        </w:tc>
        <w:tc>
          <w:tcPr>
            <w:tcW w:w="2504" w:type="dxa"/>
          </w:tcPr>
          <w:p w14:paraId="103AA328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samostalno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računa zadatke s više računskih radnji.</w:t>
            </w:r>
          </w:p>
        </w:tc>
        <w:tc>
          <w:tcPr>
            <w:tcW w:w="2924" w:type="dxa"/>
          </w:tcPr>
          <w:p w14:paraId="5AEA175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argumentirano objašnjava pravila vezana uz izvođenje više računskih radnji te zadatke u kojima se one javljaju rješava samostalno i točno.</w:t>
            </w:r>
          </w:p>
        </w:tc>
      </w:tr>
      <w:tr w14:paraId="3CB29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67A777C7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svojstva računskih operacija (komutativnost, asocijativnost i distributivnost). 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1EAAF8D1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„p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rimjenjuje svojstva računskih operacija (komutativnost, asocijativnost i distributivnost).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0183681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vođenje primjenjuje svojstva računskih operacija.</w:t>
            </w:r>
          </w:p>
        </w:tc>
        <w:tc>
          <w:tcPr>
            <w:tcW w:w="2505" w:type="dxa"/>
          </w:tcPr>
          <w:p w14:paraId="6C3726D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Svojstva komutativnosti i distributivnosti ne primjenjuje samoinicijativno prilikom rješavanja zadataka.</w:t>
            </w:r>
          </w:p>
          <w:p w14:paraId="5BEFBEC4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17763F1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komutativnosti i distributivnosti.</w:t>
            </w:r>
          </w:p>
        </w:tc>
        <w:tc>
          <w:tcPr>
            <w:tcW w:w="2924" w:type="dxa"/>
          </w:tcPr>
          <w:p w14:paraId="604F93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 komutativnost i distributivnost prilikom računanja.</w:t>
            </w:r>
          </w:p>
          <w:p w14:paraId="2E603A8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70DE3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32482DE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veze među računskim operacijama.</w:t>
            </w:r>
          </w:p>
          <w:p w14:paraId="2C255B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30410FCA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„p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rimjenjuje veze među računskim operacijama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4B077334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 xml:space="preserve">Uz navođenje i dovršavajući započete primjere 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veze između računskih operacija.</w:t>
            </w:r>
          </w:p>
        </w:tc>
        <w:tc>
          <w:tcPr>
            <w:tcW w:w="2505" w:type="dxa"/>
          </w:tcPr>
          <w:p w14:paraId="62AB746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Dovršavajući započete primjere uočava veze između računskih operacija.</w:t>
            </w:r>
          </w:p>
          <w:p w14:paraId="77DB5BEB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669D552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ali uz poticaj primjenjuje veze između računskih operacija.</w:t>
            </w:r>
          </w:p>
          <w:p w14:paraId="356231E5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1320EAD9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 veze između računskih operacija olakšavajući si računanje.</w:t>
            </w:r>
          </w:p>
        </w:tc>
      </w:tr>
      <w:tr w14:paraId="475C8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7FC9ADB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operacija.</w:t>
            </w:r>
          </w:p>
          <w:p w14:paraId="0C31E65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715F28CB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„imenuje članove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računskih operacija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47CAA5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imenuje članove računskih operacija.</w:t>
            </w:r>
          </w:p>
          <w:p w14:paraId="6AACD7A0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05" w:type="dxa"/>
          </w:tcPr>
          <w:p w14:paraId="2DA06D5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operacija.</w:t>
            </w:r>
          </w:p>
          <w:p w14:paraId="03D8F3E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351202D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rješava tekstualne zadatke u kojima se pojavljuju imena članova računskih operacija.</w:t>
            </w:r>
          </w:p>
        </w:tc>
        <w:tc>
          <w:tcPr>
            <w:tcW w:w="2924" w:type="dxa"/>
          </w:tcPr>
          <w:p w14:paraId="0F04D498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 kojima se pojavljuju imena članova računskih operacija te iste koristi u komunikaciji na satu.</w:t>
            </w:r>
          </w:p>
        </w:tc>
      </w:tr>
      <w:tr w14:paraId="73A01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14B1C8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različite vrste zadataka.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0365E445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„rješava različite vrste zadataka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C61E269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različite vrste zadataka uz asistenciju i podsjećanje na pravila računanja sa zagradama i izvođenja više računskih radnji.</w:t>
            </w:r>
          </w:p>
        </w:tc>
        <w:tc>
          <w:tcPr>
            <w:tcW w:w="2505" w:type="dxa"/>
          </w:tcPr>
          <w:p w14:paraId="26D9141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različite vrste zadataka uz povremena podsjećanja na pravila računanja sa zagradama i izvođenja više računskih radnji.</w:t>
            </w:r>
          </w:p>
          <w:p w14:paraId="3818FE0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  <w:p w14:paraId="2019092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46FFBC30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zadatke s više računskih operacija i sa zagradama.</w:t>
            </w:r>
          </w:p>
        </w:tc>
        <w:tc>
          <w:tcPr>
            <w:tcW w:w="2924" w:type="dxa"/>
          </w:tcPr>
          <w:p w14:paraId="394DAAD9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Brzo i točno rješava zadatke s više računskih operacija i sa zagradama koristeći svojstva računskih operacija.</w:t>
            </w:r>
          </w:p>
        </w:tc>
      </w:tr>
      <w:tr w14:paraId="68EC5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top w:val="single" w:color="auto" w:sz="12" w:space="0"/>
              <w:right w:val="single" w:color="auto" w:sz="4" w:space="0"/>
            </w:tcBorders>
            <w:shd w:val="clear" w:color="auto" w:fill="DEEAF6" w:themeFill="accent1" w:themeFillTint="33"/>
          </w:tcPr>
          <w:p w14:paraId="0661970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A.3.6. Primjenjuje četiri računske operacije i odnose među brojevima u problemskim situacijama.</w:t>
            </w:r>
          </w:p>
        </w:tc>
      </w:tr>
      <w:tr w14:paraId="7EAF2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4DB91D2C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color="auto" w:sz="4" w:space="0"/>
              <w:left w:val="double" w:color="auto" w:sz="12" w:space="0"/>
            </w:tcBorders>
          </w:tcPr>
          <w:p w14:paraId="51A10B7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color="auto" w:sz="4" w:space="0"/>
            </w:tcBorders>
          </w:tcPr>
          <w:p w14:paraId="2A41659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color="auto" w:sz="4" w:space="0"/>
            </w:tcBorders>
          </w:tcPr>
          <w:p w14:paraId="29E4174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color="auto" w:sz="4" w:space="0"/>
            </w:tcBorders>
          </w:tcPr>
          <w:p w14:paraId="2E5D86B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color="auto" w:sz="4" w:space="0"/>
            </w:tcBorders>
          </w:tcPr>
          <w:p w14:paraId="5506BDE0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735D1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15DABEF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stečene matematičke spoznaje o brojevima, računskim operacijama i njihovim svojstvima u rješavanju svakodnevnih problemskih situacija.</w:t>
            </w:r>
          </w:p>
          <w:p w14:paraId="258F9B3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1141A117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„p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rimjenjuje stečene matematičke spoznaje o brojevima, računskim operacijama i njihovim svojstvima u rješavanju svakodnevnih problemskih situacija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DCD98C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primjenjuje četiri računske operacije u rješavanju najjednostavnijih  problemskih situacija iz neposredne okoline.</w:t>
            </w:r>
          </w:p>
        </w:tc>
        <w:tc>
          <w:tcPr>
            <w:tcW w:w="2505" w:type="dxa"/>
          </w:tcPr>
          <w:p w14:paraId="7369F87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četiri računske operacije u rješavanju jednostavnih problemskih situacija iz neposredne okoline.</w:t>
            </w:r>
          </w:p>
        </w:tc>
        <w:tc>
          <w:tcPr>
            <w:tcW w:w="2504" w:type="dxa"/>
          </w:tcPr>
          <w:p w14:paraId="39DDE21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primjenjuje stečene matematičke spoznaje o brojevima, računskim operacijama i njihovim svojstvima u rješavanju svakodnevnih problemskih situacija.</w:t>
            </w:r>
          </w:p>
          <w:p w14:paraId="436D04D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47DE6C6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stečene matematičke spoznaje o brojevima, računskim operacijama i njihovim svojstvima u rješavanju svakodnevnih problemskih situacija.</w:t>
            </w:r>
          </w:p>
          <w:p w14:paraId="485EAE9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6A2A7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shd w:val="clear" w:color="auto" w:fill="C5E0B3" w:themeFill="accent6" w:themeFillTint="66"/>
          </w:tcPr>
          <w:p w14:paraId="2EF78EB5">
            <w:pPr>
              <w:spacing w:after="0" w:line="240" w:lineRule="auto"/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ALGEBRA I FUNKCIJE</w:t>
            </w:r>
          </w:p>
        </w:tc>
      </w:tr>
      <w:tr w14:paraId="20999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7A6F72F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B.3.1. Rješava zadatke s jednim nepoznatim članom koristeći se slovom kao oznakom za broj.</w:t>
            </w:r>
          </w:p>
        </w:tc>
      </w:tr>
      <w:tr w14:paraId="2D7A3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3F722C69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color="auto" w:sz="4" w:space="0"/>
              <w:left w:val="double" w:color="auto" w:sz="12" w:space="0"/>
            </w:tcBorders>
          </w:tcPr>
          <w:p w14:paraId="1A1E803A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color="auto" w:sz="4" w:space="0"/>
            </w:tcBorders>
          </w:tcPr>
          <w:p w14:paraId="1F2A00D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color="auto" w:sz="4" w:space="0"/>
            </w:tcBorders>
          </w:tcPr>
          <w:p w14:paraId="29702FA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color="auto" w:sz="4" w:space="0"/>
            </w:tcBorders>
          </w:tcPr>
          <w:p w14:paraId="4FE0B57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color="auto" w:sz="4" w:space="0"/>
            </w:tcBorders>
          </w:tcPr>
          <w:p w14:paraId="7A9E7EFA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49CBD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1C266F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Koristi se slovom kao oznakom za broj.</w:t>
            </w:r>
          </w:p>
          <w:p w14:paraId="4522255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49FEB42C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slovom kao oznakom za broj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4B52DFB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uviđa matematički smisao zamjene slova brojevima.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5FE8966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učitelja se koristi slovom kao oznakom za broj.</w:t>
            </w:r>
          </w:p>
          <w:p w14:paraId="455D4041">
            <w:pPr>
              <w:spacing w:after="0" w:line="240" w:lineRule="auto"/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78DE58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Koristi se slovom kao oznakom za broj.</w:t>
            </w:r>
          </w:p>
          <w:p w14:paraId="2576D01C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5A1A9B7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Uviđa pojam nepoznanice te ju koristi i u ostalim oblicima, a ne samo kao slovo.</w:t>
            </w:r>
          </w:p>
        </w:tc>
      </w:tr>
      <w:tr w14:paraId="7E120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3C87AA9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Uvrštava zadani broj umjesto slova.</w:t>
            </w:r>
          </w:p>
          <w:p w14:paraId="2B375CF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05F76E3E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uvrštava zadani broj umjesto slova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004CFE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Slijedeći započete primjere u mogućnosti je računati zadatke mijenjajući broj za slovo.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24CEC370">
            <w:pPr>
              <w:spacing w:after="0" w:line="240" w:lineRule="auto"/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nakon niza primjera uvrštava zadani broj umjesto slova.</w:t>
            </w: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2B2C737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manju pomoć izračunava vrijednost nepoznatoga člana u jednakosti i provjerava točnost dobivenoga rješenja.</w:t>
            </w: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63563A93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Uviđa pojam nepoznanice te koristi točan matematički zapis za rješavanje zadanih zadataka.</w:t>
            </w:r>
          </w:p>
        </w:tc>
      </w:tr>
      <w:tr w14:paraId="3BD82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3080C2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Određuje vrijednost nepoznatoga člana jednakosti/nejednakosti. </w:t>
            </w:r>
          </w:p>
          <w:p w14:paraId="14EC1DD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4140D908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određuje vrijednost nepoznatoga člana jednakosti/nejednakosti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6FD2D64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zadatke sa nepoznanicama uz stalnu podršku i konkrete.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067361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 pomoć i djelomično točno rješava zadatke sa nepoznanicama.</w:t>
            </w: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137D85A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i samostalno računa zadatke s nepoznatim članom.</w:t>
            </w: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517CCD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Koristeći se vezama među računskim operacijama samostalno određuje vrijednost nepoznatoga broja.</w:t>
            </w:r>
          </w:p>
        </w:tc>
      </w:tr>
      <w:tr w14:paraId="5C797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6A327E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operacija.</w:t>
            </w:r>
          </w:p>
          <w:p w14:paraId="6E5F8A5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624B43A2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svojstva računskih operacija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7C6E8CD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vođenje primjenjuje svojstva računskih operacija.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381D2E8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u sugestivnim zadatcima ne koristeći ih samostalno prilikom rješavanja ostalih zadataka.</w:t>
            </w: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528DD903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uspješno primjenjuje svojstva računskih operacija.</w:t>
            </w: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5770542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 svojstva računskih operacija  prilikom računanja.</w:t>
            </w:r>
          </w:p>
          <w:p w14:paraId="26CB33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74358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5472FB1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veze među računskim operacijama.</w:t>
            </w: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5A178F33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veze među računskim operacijama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54DD7C4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 xml:space="preserve">Uz navođenje i dovršavajući započete primjere 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veze između računskih operacija.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4FF6A1F0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Dovršavajući započete primjere uočava veze između računskih operacija rješavajući jednostavne postavljene probleme.</w:t>
            </w: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43AF59B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ali uz poticaj primjenjuje veze između računskih operacija rješavajući tako problemske situacije.</w:t>
            </w: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3911A00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 veze između računskih operacija rješavajući tako problemske situacije.</w:t>
            </w:r>
          </w:p>
        </w:tc>
      </w:tr>
      <w:tr w14:paraId="63AD3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shd w:val="clear" w:color="auto" w:fill="C5E0B3" w:themeFill="accent6" w:themeFillTint="66"/>
          </w:tcPr>
          <w:p w14:paraId="3B7A737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OBLIK  I  PROSTOR</w:t>
            </w:r>
          </w:p>
        </w:tc>
      </w:tr>
      <w:tr w14:paraId="465F8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6019" w:type="dxa"/>
            <w:gridSpan w:val="6"/>
            <w:tcBorders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06B41A3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C.3.1. Opisuje i crta točku, dužinu, polupravac i pravac te njihove odnose.</w:t>
            </w:r>
          </w:p>
        </w:tc>
      </w:tr>
      <w:tr w14:paraId="1B164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599A1C2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RADA ISHODA</w:t>
            </w:r>
          </w:p>
        </w:tc>
        <w:tc>
          <w:tcPr>
            <w:tcW w:w="2937" w:type="dxa"/>
            <w:tcBorders>
              <w:top w:val="single" w:color="auto" w:sz="4" w:space="0"/>
              <w:left w:val="double" w:color="auto" w:sz="12" w:space="0"/>
            </w:tcBorders>
          </w:tcPr>
          <w:p w14:paraId="0837712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color="auto" w:sz="4" w:space="0"/>
            </w:tcBorders>
          </w:tcPr>
          <w:p w14:paraId="51FD466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color="auto" w:sz="4" w:space="0"/>
            </w:tcBorders>
          </w:tcPr>
          <w:p w14:paraId="7C82B7B4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color="auto" w:sz="4" w:space="0"/>
            </w:tcBorders>
          </w:tcPr>
          <w:p w14:paraId="3DCE6FD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color="auto" w:sz="4" w:space="0"/>
            </w:tcBorders>
          </w:tcPr>
          <w:p w14:paraId="33A6A50A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6A983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00536B39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i označava točke i dužine. </w:t>
            </w:r>
          </w:p>
          <w:p w14:paraId="3FCC85CC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2435A68C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i označava točke i dužine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39430E9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i označava točke uz pomoć učitelja te uz podsjećanje na ispravnu upotrebu geometrijskog pribora te na ispravno označavanje dužine. 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5C94A15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i označava točke uz podsjećanje na ispravnu upotrebu geometrijskog pribora te na ispravno označavanje dužine. </w:t>
            </w: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4CFF17B8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dužine koristeći se geometrijskim priborom na uglavnom ispravan način, imenuje dužine  uglavnom redovno  primjenjujući oznake za dužine.</w:t>
            </w: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713DCAC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crta dužine koristeći se geometrijskim priborom na ispravan način, imenuje dužine pravilno primjenjujući oznake za dužine.</w:t>
            </w:r>
          </w:p>
        </w:tc>
      </w:tr>
      <w:tr w14:paraId="526F3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4" w:space="0"/>
              <w:bottom w:val="single" w:color="auto" w:sz="6" w:space="0"/>
              <w:right w:val="double" w:color="auto" w:sz="12" w:space="0"/>
            </w:tcBorders>
          </w:tcPr>
          <w:p w14:paraId="16A49D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Upoznaje pravac kao neograničenu ravnu crtu.</w:t>
            </w:r>
          </w:p>
          <w:p w14:paraId="6B9A7DDE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highlight w:val="yellow"/>
                <w:lang w:eastAsia="hr-HR"/>
              </w:rPr>
            </w:pPr>
          </w:p>
        </w:tc>
        <w:tc>
          <w:tcPr>
            <w:tcW w:w="2937" w:type="dxa"/>
            <w:tcBorders>
              <w:top w:val="single" w:color="auto" w:sz="4" w:space="0"/>
              <w:left w:val="double" w:color="auto" w:sz="12" w:space="0"/>
              <w:bottom w:val="single" w:color="auto" w:sz="6" w:space="0"/>
            </w:tcBorders>
          </w:tcPr>
          <w:p w14:paraId="20DB9234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upoznaje pravac kao neograničenu ravnu crtu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color="auto" w:sz="4" w:space="0"/>
              <w:bottom w:val="single" w:color="auto" w:sz="6" w:space="0"/>
            </w:tcBorders>
          </w:tcPr>
          <w:p w14:paraId="2284A5B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povezuje sliku pravca sa njegovom definicijom.</w:t>
            </w:r>
          </w:p>
        </w:tc>
        <w:tc>
          <w:tcPr>
            <w:tcW w:w="2505" w:type="dxa"/>
            <w:tcBorders>
              <w:top w:val="single" w:color="auto" w:sz="4" w:space="0"/>
              <w:bottom w:val="single" w:color="auto" w:sz="6" w:space="0"/>
            </w:tcBorders>
          </w:tcPr>
          <w:p w14:paraId="3304AA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pravac kao neograničenu ravnu crtu.</w:t>
            </w:r>
          </w:p>
          <w:p w14:paraId="55D71D2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top w:val="single" w:color="auto" w:sz="4" w:space="0"/>
              <w:bottom w:val="single" w:color="auto" w:sz="6" w:space="0"/>
            </w:tcBorders>
          </w:tcPr>
          <w:p w14:paraId="388529D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pravac kao neograničenu ravnu crtu.</w:t>
            </w:r>
          </w:p>
        </w:tc>
        <w:tc>
          <w:tcPr>
            <w:tcW w:w="2924" w:type="dxa"/>
            <w:tcBorders>
              <w:top w:val="single" w:color="auto" w:sz="4" w:space="0"/>
              <w:bottom w:val="single" w:color="auto" w:sz="6" w:space="0"/>
            </w:tcBorders>
          </w:tcPr>
          <w:p w14:paraId="6344177A">
            <w:pPr>
              <w:spacing w:after="0" w:line="240" w:lineRule="auto"/>
              <w:contextualSpacing/>
              <w:rPr>
                <w:rFonts w:ascii="Calibri" w:hAnsi="Calibri" w:eastAsia="Times New Roman" w:cs="Calibri"/>
                <w:sz w:val="24"/>
                <w:szCs w:val="24"/>
                <w:lang w:eastAsia="hr-HR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eastAsia="hr-HR"/>
              </w:rPr>
              <w:t>Argumentirano objašnjava i primjerima potkrepljuje svojstva pravca.</w:t>
            </w:r>
          </w:p>
          <w:p w14:paraId="67A224E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02DE2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6" w:space="0"/>
              <w:bottom w:val="single" w:color="auto" w:sz="4" w:space="0"/>
              <w:right w:val="double" w:color="auto" w:sz="12" w:space="0"/>
            </w:tcBorders>
          </w:tcPr>
          <w:p w14:paraId="0587E4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i označava pravac i polupravac.</w:t>
            </w:r>
          </w:p>
          <w:p w14:paraId="10ADAF5B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top w:val="single" w:color="auto" w:sz="6" w:space="0"/>
              <w:left w:val="double" w:color="auto" w:sz="12" w:space="0"/>
              <w:bottom w:val="single" w:color="auto" w:sz="4" w:space="0"/>
            </w:tcBorders>
          </w:tcPr>
          <w:p w14:paraId="722CF5F8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i označava pravac i polupravac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4" w:space="0"/>
            </w:tcBorders>
          </w:tcPr>
          <w:p w14:paraId="41E528F9">
            <w:pPr>
              <w:spacing w:after="0" w:line="240" w:lineRule="auto"/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Crta pravac i polupravac i označava točke uz pomoć učitelja te uz podsjećanje na ispravnu upotrebu geometrijskog pribora.</w:t>
            </w:r>
          </w:p>
        </w:tc>
        <w:tc>
          <w:tcPr>
            <w:tcW w:w="2505" w:type="dxa"/>
            <w:tcBorders>
              <w:top w:val="single" w:color="auto" w:sz="6" w:space="0"/>
              <w:bottom w:val="single" w:color="auto" w:sz="4" w:space="0"/>
            </w:tcBorders>
          </w:tcPr>
          <w:p w14:paraId="0F61B84B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pravac i polupravac, označava točke uz podsjećanje na ispravnu upotrebu geometrijskog pribora. </w:t>
            </w:r>
          </w:p>
        </w:tc>
        <w:tc>
          <w:tcPr>
            <w:tcW w:w="2504" w:type="dxa"/>
            <w:tcBorders>
              <w:top w:val="single" w:color="auto" w:sz="6" w:space="0"/>
              <w:bottom w:val="single" w:color="auto" w:sz="4" w:space="0"/>
            </w:tcBorders>
          </w:tcPr>
          <w:p w14:paraId="32E7D4F0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pravac i polupravac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koristeći se geometrijskim priborom na uglavnom ispravan način.</w:t>
            </w:r>
          </w:p>
        </w:tc>
        <w:tc>
          <w:tcPr>
            <w:tcW w:w="2924" w:type="dxa"/>
            <w:tcBorders>
              <w:top w:val="single" w:color="auto" w:sz="6" w:space="0"/>
              <w:bottom w:val="single" w:color="auto" w:sz="4" w:space="0"/>
            </w:tcBorders>
          </w:tcPr>
          <w:p w14:paraId="02E0BDC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Uredno crta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pravac i polupravac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koristeći se geometrijskim priborom na ispravan način.</w:t>
            </w:r>
          </w:p>
        </w:tc>
      </w:tr>
      <w:tr w14:paraId="6B147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6" w:space="0"/>
              <w:bottom w:val="single" w:color="auto" w:sz="4" w:space="0"/>
              <w:right w:val="double" w:color="auto" w:sz="12" w:space="0"/>
            </w:tcBorders>
          </w:tcPr>
          <w:p w14:paraId="1CBBE9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dužinu kao dio pravca i ističe njezine krajnje točke.</w:t>
            </w:r>
          </w:p>
          <w:p w14:paraId="34ADCED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color="auto" w:sz="6" w:space="0"/>
              <w:left w:val="double" w:color="auto" w:sz="12" w:space="0"/>
              <w:bottom w:val="single" w:color="auto" w:sz="4" w:space="0"/>
            </w:tcBorders>
          </w:tcPr>
          <w:p w14:paraId="0AE57470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dužinu kao dio pravca i ističe njezine krajnje točke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4" w:space="0"/>
            </w:tcBorders>
          </w:tcPr>
          <w:p w14:paraId="1FB0AE1A">
            <w:pPr>
              <w:spacing w:after="0" w:line="240" w:lineRule="auto"/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uz pomoć učitelja te uz podsjećanje na ispravnu upotrebu geometrijskog pribora te na ispravno označavanje dužine. </w:t>
            </w:r>
          </w:p>
        </w:tc>
        <w:tc>
          <w:tcPr>
            <w:tcW w:w="2505" w:type="dxa"/>
            <w:tcBorders>
              <w:top w:val="single" w:color="auto" w:sz="6" w:space="0"/>
              <w:bottom w:val="single" w:color="auto" w:sz="4" w:space="0"/>
            </w:tcBorders>
          </w:tcPr>
          <w:p w14:paraId="5813E4E0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uz podsjećanje na ispravnu upotrebu geometrijskog pribora te na ispravno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isticanje točaka i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označavanje dužine. </w:t>
            </w:r>
          </w:p>
        </w:tc>
        <w:tc>
          <w:tcPr>
            <w:tcW w:w="2504" w:type="dxa"/>
            <w:tcBorders>
              <w:top w:val="single" w:color="auto" w:sz="6" w:space="0"/>
              <w:bottom w:val="single" w:color="auto" w:sz="4" w:space="0"/>
            </w:tcBorders>
          </w:tcPr>
          <w:p w14:paraId="0E403F84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dužine koristeći se geometrijskim priborom na uglavnom ispravan način, dogovorenim oznakama ističe točke, imenuje dužine po krajnjim točkama uglavnom redovno  primjenjujući oznake za dužine.</w:t>
            </w:r>
          </w:p>
        </w:tc>
        <w:tc>
          <w:tcPr>
            <w:tcW w:w="2924" w:type="dxa"/>
            <w:tcBorders>
              <w:top w:val="single" w:color="auto" w:sz="6" w:space="0"/>
              <w:bottom w:val="single" w:color="auto" w:sz="4" w:space="0"/>
            </w:tcBorders>
          </w:tcPr>
          <w:p w14:paraId="51D17222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crta dužine koristeći se geometrijskim priborom na ispravan način, dogovorenim oznakama ističe točke, imenuje dužine pravilno primjenjujući oznake za dužine.</w:t>
            </w:r>
          </w:p>
        </w:tc>
      </w:tr>
      <w:tr w14:paraId="4C95B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4" w:space="0"/>
              <w:bottom w:val="single" w:color="auto" w:sz="12" w:space="0"/>
              <w:right w:val="double" w:color="auto" w:sz="12" w:space="0"/>
            </w:tcBorders>
          </w:tcPr>
          <w:p w14:paraId="1F96C045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Određuje i crta pripadnost točaka pravcu.</w:t>
            </w:r>
          </w:p>
        </w:tc>
        <w:tc>
          <w:tcPr>
            <w:tcW w:w="2937" w:type="dxa"/>
            <w:tcBorders>
              <w:top w:val="single" w:color="auto" w:sz="4" w:space="0"/>
              <w:left w:val="double" w:color="auto" w:sz="12" w:space="0"/>
              <w:bottom w:val="single" w:color="auto" w:sz="12" w:space="0"/>
            </w:tcBorders>
          </w:tcPr>
          <w:p w14:paraId="755AD4E0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određuje i crta pripadnost točaka pravcu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color="auto" w:sz="4" w:space="0"/>
              <w:bottom w:val="single" w:color="auto" w:sz="12" w:space="0"/>
            </w:tcBorders>
          </w:tcPr>
          <w:p w14:paraId="38A58851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Podsjećanjem na dogovoreni način obilježavanja i na urednost, crta točke na pravcu i djelomično točno određuje pripadnost istih pravcu.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416B57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Dogovorenim načinom obilježavanja, uglavnom točno i samostalno, crta točke na pravcu i određuje pripadnost istih pravcu.</w:t>
            </w: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4E07CB2C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Dogovorenim načinom obilježavanja crta točke na pravcu i određuje pripadnost istih pravcu.</w:t>
            </w: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1C0A2763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Dogovorenim načinom obilježavanja, uredno i samostalno, crta točke na pravcu i određuje pripadnost istih pravcu.</w:t>
            </w:r>
          </w:p>
        </w:tc>
      </w:tr>
      <w:tr w14:paraId="5ADE8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top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DEEAF6" w:themeFill="accent1" w:themeFillTint="33"/>
          </w:tcPr>
          <w:p w14:paraId="25A58B5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C.3.2. Prepoznaje i crta pravce u različitim međusobnim odnosima.</w:t>
            </w:r>
          </w:p>
        </w:tc>
      </w:tr>
      <w:tr w14:paraId="13781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4" w:space="0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27010F7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color="auto" w:sz="4" w:space="0"/>
              <w:left w:val="double" w:color="auto" w:sz="12" w:space="0"/>
              <w:bottom w:val="single" w:color="auto" w:sz="4" w:space="0"/>
            </w:tcBorders>
          </w:tcPr>
          <w:p w14:paraId="6EBB2E21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color="auto" w:sz="4" w:space="0"/>
              <w:bottom w:val="single" w:color="auto" w:sz="4" w:space="0"/>
            </w:tcBorders>
          </w:tcPr>
          <w:p w14:paraId="1DE5A964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color="auto" w:sz="4" w:space="0"/>
              <w:bottom w:val="single" w:color="auto" w:sz="4" w:space="0"/>
            </w:tcBorders>
          </w:tcPr>
          <w:p w14:paraId="0EA02F7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color="auto" w:sz="4" w:space="0"/>
              <w:bottom w:val="single" w:color="auto" w:sz="4" w:space="0"/>
            </w:tcBorders>
          </w:tcPr>
          <w:p w14:paraId="324A467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color="auto" w:sz="4" w:space="0"/>
              <w:bottom w:val="single" w:color="auto" w:sz="4" w:space="0"/>
            </w:tcBorders>
          </w:tcPr>
          <w:p w14:paraId="667E39B1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64475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378EC57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pravac i njegove dijelove.</w:t>
            </w:r>
          </w:p>
          <w:p w14:paraId="01CFAC3E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170F8A69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pravac i njegove dijelove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6" w:space="0"/>
            </w:tcBorders>
          </w:tcPr>
          <w:p w14:paraId="4A3DA75A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pravac uz pomoć učitelja te uz podsjećanje na ispravnu upotrebu geometrijskog pribora te na ispravno označavanje pravca. </w:t>
            </w:r>
          </w:p>
        </w:tc>
        <w:tc>
          <w:tcPr>
            <w:tcW w:w="2505" w:type="dxa"/>
            <w:tcBorders>
              <w:top w:val="single" w:color="auto" w:sz="6" w:space="0"/>
              <w:bottom w:val="single" w:color="auto" w:sz="6" w:space="0"/>
            </w:tcBorders>
          </w:tcPr>
          <w:p w14:paraId="3A4A03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pravac uz podsjećanje na ispravnu upotrebu geometrijskog pribora te na ispravno označavanje pravca. </w:t>
            </w:r>
          </w:p>
        </w:tc>
        <w:tc>
          <w:tcPr>
            <w:tcW w:w="2504" w:type="dxa"/>
            <w:tcBorders>
              <w:top w:val="single" w:color="auto" w:sz="6" w:space="0"/>
              <w:bottom w:val="single" w:color="auto" w:sz="6" w:space="0"/>
            </w:tcBorders>
          </w:tcPr>
          <w:p w14:paraId="4485B24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pravce koristeći se geometrijskim priborom na uglavnom ispravan način, imenuje ih  uglavnom točno  primjenjujući oznake za pravce.</w:t>
            </w:r>
          </w:p>
        </w:tc>
        <w:tc>
          <w:tcPr>
            <w:tcW w:w="2924" w:type="dxa"/>
            <w:tcBorders>
              <w:top w:val="single" w:color="auto" w:sz="6" w:space="0"/>
              <w:bottom w:val="single" w:color="auto" w:sz="6" w:space="0"/>
            </w:tcBorders>
          </w:tcPr>
          <w:p w14:paraId="581622F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crta pravce koristeći se geometrijskim priborom na ispravan način, imenuje pravce pravilno primjenjujući oznake njihovo obilježavanje.</w:t>
            </w:r>
          </w:p>
        </w:tc>
      </w:tr>
      <w:tr w14:paraId="69C82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50AA24A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usporedne pravce i pravce koji se sijeku (uključujući okomite).</w:t>
            </w:r>
          </w:p>
        </w:tc>
        <w:tc>
          <w:tcPr>
            <w:tcW w:w="2937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2A4CB4F8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usporedne pravce i pravce koji se sijeku (uključujući okomite)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6" w:space="0"/>
            </w:tcBorders>
          </w:tcPr>
          <w:p w14:paraId="5BC75E91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međusobne odnose pravaca uz podsjećanje na urednost i pravilno korištenje geometrijskog pribora, uz podsjećanje i poticaj razlikuje okomite od ostalih ukrštenih pravaca.</w:t>
            </w:r>
          </w:p>
        </w:tc>
        <w:tc>
          <w:tcPr>
            <w:tcW w:w="2505" w:type="dxa"/>
            <w:tcBorders>
              <w:top w:val="single" w:color="auto" w:sz="6" w:space="0"/>
              <w:bottom w:val="single" w:color="auto" w:sz="6" w:space="0"/>
            </w:tcBorders>
          </w:tcPr>
          <w:p w14:paraId="0A83BD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međusobne odnose pravaca uz podsjećanje na urednost i pravilno korištenje geometrijskog pribora, neprecizno crta okomite pravce.</w:t>
            </w:r>
          </w:p>
        </w:tc>
        <w:tc>
          <w:tcPr>
            <w:tcW w:w="2504" w:type="dxa"/>
            <w:tcBorders>
              <w:top w:val="single" w:color="auto" w:sz="6" w:space="0"/>
              <w:bottom w:val="single" w:color="auto" w:sz="6" w:space="0"/>
            </w:tcBorders>
          </w:tcPr>
          <w:p w14:paraId="7B0FE63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i crta međusobne odnose pravaca uz manju nesigurnost.</w:t>
            </w:r>
          </w:p>
        </w:tc>
        <w:tc>
          <w:tcPr>
            <w:tcW w:w="2924" w:type="dxa"/>
            <w:tcBorders>
              <w:top w:val="single" w:color="auto" w:sz="6" w:space="0"/>
              <w:bottom w:val="single" w:color="auto" w:sz="6" w:space="0"/>
            </w:tcBorders>
          </w:tcPr>
          <w:p w14:paraId="2BFED1E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međusobne odnose pravaca te ih crta uredno uz pravilno korištenje geometrijskog pribora.</w:t>
            </w:r>
          </w:p>
        </w:tc>
      </w:tr>
      <w:tr w14:paraId="32673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6" w:space="0"/>
              <w:bottom w:val="single" w:color="auto" w:sz="4" w:space="0"/>
              <w:right w:val="double" w:color="auto" w:sz="12" w:space="0"/>
            </w:tcBorders>
          </w:tcPr>
          <w:p w14:paraId="16D084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Pravcima koji se sijeku određuje sjecište.</w:t>
            </w:r>
          </w:p>
        </w:tc>
        <w:tc>
          <w:tcPr>
            <w:tcW w:w="2937" w:type="dxa"/>
            <w:tcBorders>
              <w:top w:val="single" w:color="auto" w:sz="6" w:space="0"/>
              <w:left w:val="double" w:color="auto" w:sz="12" w:space="0"/>
              <w:bottom w:val="single" w:color="auto" w:sz="4" w:space="0"/>
            </w:tcBorders>
          </w:tcPr>
          <w:p w14:paraId="587F7CD3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pravcima koji se sijeku određuje sjecište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4" w:space="0"/>
            </w:tcBorders>
          </w:tcPr>
          <w:p w14:paraId="2DE49487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Određuje sjecište pravaca na najjednostavnijim geometrijskim crtežima.</w:t>
            </w:r>
          </w:p>
        </w:tc>
        <w:tc>
          <w:tcPr>
            <w:tcW w:w="2505" w:type="dxa"/>
            <w:tcBorders>
              <w:top w:val="single" w:color="auto" w:sz="6" w:space="0"/>
              <w:bottom w:val="single" w:color="auto" w:sz="4" w:space="0"/>
            </w:tcBorders>
          </w:tcPr>
          <w:p w14:paraId="3522CBC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Pravcima koji se sijeku određuje sjecište.</w:t>
            </w:r>
          </w:p>
        </w:tc>
        <w:tc>
          <w:tcPr>
            <w:tcW w:w="2504" w:type="dxa"/>
            <w:tcBorders>
              <w:top w:val="single" w:color="auto" w:sz="6" w:space="0"/>
              <w:bottom w:val="single" w:color="auto" w:sz="4" w:space="0"/>
            </w:tcBorders>
          </w:tcPr>
          <w:p w14:paraId="12F01E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određuje sjecište pravaca na geometrijskim crtežima.</w:t>
            </w:r>
          </w:p>
        </w:tc>
        <w:tc>
          <w:tcPr>
            <w:tcW w:w="2924" w:type="dxa"/>
            <w:tcBorders>
              <w:top w:val="single" w:color="auto" w:sz="6" w:space="0"/>
              <w:bottom w:val="single" w:color="auto" w:sz="4" w:space="0"/>
            </w:tcBorders>
          </w:tcPr>
          <w:p w14:paraId="20CB4D7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brzo tumači i kompliciranije geometrijske crteže uočavajući i obilježavajući sjecišta pravaca.</w:t>
            </w:r>
          </w:p>
        </w:tc>
      </w:tr>
      <w:tr w14:paraId="4336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4" w:space="0"/>
              <w:bottom w:val="single" w:color="auto" w:sz="12" w:space="0"/>
              <w:right w:val="double" w:color="auto" w:sz="12" w:space="0"/>
            </w:tcBorders>
          </w:tcPr>
          <w:p w14:paraId="1F189A5B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matematičke oznake za okomitost i usporednost dvaju pravaca.</w:t>
            </w:r>
          </w:p>
        </w:tc>
        <w:tc>
          <w:tcPr>
            <w:tcW w:w="2937" w:type="dxa"/>
            <w:tcBorders>
              <w:top w:val="single" w:color="auto" w:sz="4" w:space="0"/>
              <w:left w:val="double" w:color="auto" w:sz="12" w:space="0"/>
              <w:bottom w:val="single" w:color="auto" w:sz="12" w:space="0"/>
            </w:tcBorders>
          </w:tcPr>
          <w:p w14:paraId="0DE659D9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matematičke oznake za okomitost i usporednost dvaju pravaca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color="auto" w:sz="4" w:space="0"/>
              <w:bottom w:val="single" w:color="auto" w:sz="12" w:space="0"/>
            </w:tcBorders>
          </w:tcPr>
          <w:p w14:paraId="59118391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jednostavnim primjerima i djelomično točno primjenjuje matematičke oznake za okomitost i usporednost dvaju pravaca.</w:t>
            </w:r>
          </w:p>
        </w:tc>
        <w:tc>
          <w:tcPr>
            <w:tcW w:w="2505" w:type="dxa"/>
            <w:tcBorders>
              <w:top w:val="single" w:color="auto" w:sz="4" w:space="0"/>
              <w:bottom w:val="single" w:color="auto" w:sz="12" w:space="0"/>
            </w:tcBorders>
          </w:tcPr>
          <w:p w14:paraId="2D48CEF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Tumači jednostavnije</w:t>
            </w:r>
          </w:p>
          <w:p w14:paraId="0FF1323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geometrijske crteže uočavajući i obilježavajući odnose među pravcima.</w:t>
            </w:r>
          </w:p>
        </w:tc>
        <w:tc>
          <w:tcPr>
            <w:tcW w:w="2504" w:type="dxa"/>
            <w:tcBorders>
              <w:top w:val="single" w:color="auto" w:sz="4" w:space="0"/>
              <w:bottom w:val="single" w:color="auto" w:sz="12" w:space="0"/>
            </w:tcBorders>
          </w:tcPr>
          <w:p w14:paraId="331F0D1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brzo tumači i geometrijske crteže uočavajući i obilježavajući odnose među pravcima.</w:t>
            </w:r>
          </w:p>
        </w:tc>
        <w:tc>
          <w:tcPr>
            <w:tcW w:w="2924" w:type="dxa"/>
            <w:tcBorders>
              <w:top w:val="single" w:color="auto" w:sz="4" w:space="0"/>
              <w:bottom w:val="single" w:color="auto" w:sz="12" w:space="0"/>
            </w:tcBorders>
          </w:tcPr>
          <w:p w14:paraId="4946FBC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brzo tumači i kompliciranije geometrijske crteže uočavajući i obilježavajući odnose među pravcima.</w:t>
            </w:r>
          </w:p>
        </w:tc>
      </w:tr>
      <w:tr w14:paraId="7EDB7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top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DEEAF6" w:themeFill="accent1" w:themeFillTint="33"/>
          </w:tcPr>
          <w:p w14:paraId="0D25D14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C.3.3. Služi se šestarom u crtanju i konstruiranju.</w:t>
            </w:r>
          </w:p>
        </w:tc>
      </w:tr>
      <w:tr w14:paraId="36DF9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4" w:space="0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438655E2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color="auto" w:sz="4" w:space="0"/>
              <w:left w:val="double" w:color="auto" w:sz="12" w:space="0"/>
              <w:bottom w:val="single" w:color="auto" w:sz="4" w:space="0"/>
            </w:tcBorders>
          </w:tcPr>
          <w:p w14:paraId="1399998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color="auto" w:sz="4" w:space="0"/>
              <w:bottom w:val="single" w:color="auto" w:sz="4" w:space="0"/>
            </w:tcBorders>
          </w:tcPr>
          <w:p w14:paraId="06A42631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color="auto" w:sz="4" w:space="0"/>
              <w:bottom w:val="single" w:color="auto" w:sz="4" w:space="0"/>
            </w:tcBorders>
          </w:tcPr>
          <w:p w14:paraId="6259DE3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color="auto" w:sz="4" w:space="0"/>
              <w:bottom w:val="single" w:color="auto" w:sz="4" w:space="0"/>
            </w:tcBorders>
          </w:tcPr>
          <w:p w14:paraId="2CAF01E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color="auto" w:sz="4" w:space="0"/>
              <w:bottom w:val="single" w:color="auto" w:sz="4" w:space="0"/>
            </w:tcBorders>
          </w:tcPr>
          <w:p w14:paraId="50E9DD6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37ADA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5945D13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Koristi se šestarom kao dijelom geometrijskoga pribora.</w:t>
            </w:r>
          </w:p>
          <w:p w14:paraId="3BF1C90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45B97F8F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šestarom kao dijelom geometrijskoga pribora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6" w:space="0"/>
            </w:tcBorders>
          </w:tcPr>
          <w:p w14:paraId="785F7A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šestarom uz opetovano podsjećanje na pravilno držanje i poteze.</w:t>
            </w:r>
          </w:p>
        </w:tc>
        <w:tc>
          <w:tcPr>
            <w:tcW w:w="2505" w:type="dxa"/>
            <w:tcBorders>
              <w:top w:val="single" w:color="auto" w:sz="6" w:space="0"/>
              <w:bottom w:val="single" w:color="auto" w:sz="6" w:space="0"/>
            </w:tcBorders>
          </w:tcPr>
          <w:p w14:paraId="01E67E29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šestarom uglavnom na pravilan način.</w:t>
            </w:r>
          </w:p>
        </w:tc>
        <w:tc>
          <w:tcPr>
            <w:tcW w:w="2504" w:type="dxa"/>
            <w:tcBorders>
              <w:top w:val="single" w:color="auto" w:sz="6" w:space="0"/>
              <w:bottom w:val="single" w:color="auto" w:sz="6" w:space="0"/>
            </w:tcBorders>
          </w:tcPr>
          <w:p w14:paraId="028290E3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se služi šestarom pri čemu, uglavnom uredno, konstruira zadane geometrijske crteže.</w:t>
            </w:r>
          </w:p>
        </w:tc>
        <w:tc>
          <w:tcPr>
            <w:tcW w:w="2924" w:type="dxa"/>
            <w:tcBorders>
              <w:top w:val="single" w:color="auto" w:sz="6" w:space="0"/>
              <w:bottom w:val="single" w:color="auto" w:sz="6" w:space="0"/>
            </w:tcBorders>
          </w:tcPr>
          <w:p w14:paraId="65FD0B7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se služi šestarom pri čemu uredno konstruira zadane geometrijske crteže.</w:t>
            </w:r>
          </w:p>
        </w:tc>
      </w:tr>
      <w:tr w14:paraId="284B9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3D57739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Šestarom se služi u crtanju i prenošenju dužine određene duljine.</w:t>
            </w:r>
          </w:p>
          <w:p w14:paraId="1C8B714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2C8470AE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šestarom se služi u crtanju i prenošenju dužine određene duljine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6" w:space="0"/>
            </w:tcBorders>
          </w:tcPr>
          <w:p w14:paraId="6FE3812D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Geometrijski crtež prenošenja duljina zadanih dužina šestarom je nedovoljno uredan, neprecizan i nesamostalan.</w:t>
            </w:r>
          </w:p>
        </w:tc>
        <w:tc>
          <w:tcPr>
            <w:tcW w:w="2505" w:type="dxa"/>
            <w:tcBorders>
              <w:top w:val="single" w:color="auto" w:sz="6" w:space="0"/>
              <w:bottom w:val="single" w:color="auto" w:sz="6" w:space="0"/>
            </w:tcBorders>
          </w:tcPr>
          <w:p w14:paraId="05DF7D82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šestarom u crtanju i prenošenju dužine određene duljine pri čemu su, zbog nepravilnog korištenja šestara, duljine prenesenih dužina neprecizne.</w:t>
            </w:r>
          </w:p>
        </w:tc>
        <w:tc>
          <w:tcPr>
            <w:tcW w:w="2504" w:type="dxa"/>
            <w:tcBorders>
              <w:top w:val="single" w:color="auto" w:sz="6" w:space="0"/>
              <w:bottom w:val="single" w:color="auto" w:sz="6" w:space="0"/>
            </w:tcBorders>
          </w:tcPr>
          <w:p w14:paraId="4024D3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šestarom u crtanju i prenošenju dužine određene duljine konstruirajući zadani geometrijski crtež.</w:t>
            </w:r>
          </w:p>
          <w:p w14:paraId="69DE95E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top w:val="single" w:color="auto" w:sz="6" w:space="0"/>
              <w:bottom w:val="single" w:color="auto" w:sz="6" w:space="0"/>
            </w:tcBorders>
          </w:tcPr>
          <w:p w14:paraId="515CB9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šestarom u crtanju i prenošenju dužine određene duljine pri čemu dobiva uredan i točan geometrijski crtež.</w:t>
            </w:r>
          </w:p>
          <w:p w14:paraId="1B29A92B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13A2F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2A7E40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Konstruira kružnicu.</w:t>
            </w:r>
          </w:p>
          <w:p w14:paraId="783F4D3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2F8363CC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konstruira kružnicu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6" w:space="0"/>
            </w:tcBorders>
          </w:tcPr>
          <w:p w14:paraId="5E9850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stalnu pomoć učitelja konstruira kružnicu.</w:t>
            </w:r>
          </w:p>
        </w:tc>
        <w:tc>
          <w:tcPr>
            <w:tcW w:w="2505" w:type="dxa"/>
            <w:tcBorders>
              <w:top w:val="single" w:color="auto" w:sz="6" w:space="0"/>
              <w:bottom w:val="single" w:color="auto" w:sz="6" w:space="0"/>
            </w:tcBorders>
          </w:tcPr>
          <w:p w14:paraId="1B86073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Konstruira kružnicu pri čemu ne pazi na urednost iste.</w:t>
            </w:r>
          </w:p>
          <w:p w14:paraId="1466F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top w:val="single" w:color="auto" w:sz="6" w:space="0"/>
              <w:bottom w:val="single" w:color="auto" w:sz="6" w:space="0"/>
            </w:tcBorders>
          </w:tcPr>
          <w:p w14:paraId="4CD15EE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Konstruira kružnicu.</w:t>
            </w:r>
          </w:p>
        </w:tc>
        <w:tc>
          <w:tcPr>
            <w:tcW w:w="2924" w:type="dxa"/>
            <w:tcBorders>
              <w:top w:val="single" w:color="auto" w:sz="6" w:space="0"/>
              <w:bottom w:val="single" w:color="auto" w:sz="6" w:space="0"/>
            </w:tcBorders>
          </w:tcPr>
          <w:p w14:paraId="1732D1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uredno konstruira kružnicu te objašnjava njena svojstva.</w:t>
            </w:r>
          </w:p>
        </w:tc>
      </w:tr>
      <w:tr w14:paraId="3E613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6EF6AA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pravokutnik i kvadrat određene duljine stranica.</w:t>
            </w:r>
          </w:p>
        </w:tc>
        <w:tc>
          <w:tcPr>
            <w:tcW w:w="2937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07FA70F8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pravokutnik i kvadrat određene duljine stranica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6" w:space="0"/>
            </w:tcBorders>
          </w:tcPr>
          <w:p w14:paraId="2DCC89F9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naputke „korak po kora“ crta pravokutnik i kvadrat ne vodeći računa o urednosti geometrijskog crteža niti o pravilnoj upotrebi geometrijskog pribora.</w:t>
            </w:r>
          </w:p>
        </w:tc>
        <w:tc>
          <w:tcPr>
            <w:tcW w:w="2505" w:type="dxa"/>
            <w:tcBorders>
              <w:top w:val="single" w:color="auto" w:sz="6" w:space="0"/>
              <w:bottom w:val="single" w:color="auto" w:sz="6" w:space="0"/>
            </w:tcBorders>
          </w:tcPr>
          <w:p w14:paraId="1AD5F1EC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pravokutnik i kvadrat ne vodeći računa o urednosti geometrijskog crteža niti o pravilnoj upotrebi geometrijskog pribora.</w:t>
            </w:r>
          </w:p>
        </w:tc>
        <w:tc>
          <w:tcPr>
            <w:tcW w:w="2504" w:type="dxa"/>
            <w:tcBorders>
              <w:top w:val="single" w:color="auto" w:sz="6" w:space="0"/>
              <w:bottom w:val="single" w:color="auto" w:sz="6" w:space="0"/>
            </w:tcBorders>
          </w:tcPr>
          <w:p w14:paraId="1CAEA3C2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uredno i točno crta pravokutnik i kvadrat određene duljine stranica.</w:t>
            </w:r>
          </w:p>
        </w:tc>
        <w:tc>
          <w:tcPr>
            <w:tcW w:w="2924" w:type="dxa"/>
            <w:tcBorders>
              <w:top w:val="single" w:color="auto" w:sz="6" w:space="0"/>
              <w:bottom w:val="single" w:color="auto" w:sz="6" w:space="0"/>
            </w:tcBorders>
          </w:tcPr>
          <w:p w14:paraId="72CD05B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točno crta pravokutnik i kvadrat određene duljine stranica pravilno se služeći geometrijskim priborom.</w:t>
            </w:r>
          </w:p>
        </w:tc>
      </w:tr>
      <w:tr w14:paraId="61E4F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shd w:val="clear" w:color="auto" w:fill="C5E0B3" w:themeFill="accent6" w:themeFillTint="66"/>
          </w:tcPr>
          <w:p w14:paraId="6D654A6C">
            <w:pPr>
              <w:spacing w:after="0" w:line="240" w:lineRule="auto"/>
              <w:jc w:val="center"/>
              <w:rPr>
                <w:rFonts w:cstheme="minorHAnsi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MJERENJE</w:t>
            </w:r>
          </w:p>
        </w:tc>
      </w:tr>
      <w:tr w14:paraId="7BC47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right w:val="single" w:color="auto" w:sz="4" w:space="0"/>
            </w:tcBorders>
            <w:shd w:val="clear" w:color="auto" w:fill="DEEAF6" w:themeFill="accent1" w:themeFillTint="33"/>
          </w:tcPr>
          <w:p w14:paraId="28C72AD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D.3.1. Procjenjuje, mjeri i crta dužine zadane duljine.</w:t>
            </w:r>
          </w:p>
        </w:tc>
      </w:tr>
      <w:tr w14:paraId="40A4A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3B2EA51F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0781685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0A8B749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2303BEA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61B6270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2403CB8D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3A21C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3C6555E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 i njihov međusobni odnos u skupu brojeva do 1000 (kilometar, metar, decimetar, centimetar, milimetar).</w:t>
            </w:r>
          </w:p>
          <w:p w14:paraId="688B3A6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7A00ABA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21C8258A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poznaje jedinične dužine za mjerenje dužine i njihov međusobni odnos u skupu brojeva do 1000 (kilometar, metar, decimetar, centimetar, milimetar)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6CFB91F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dužine, ne uočava međusobni odnos.</w:t>
            </w:r>
          </w:p>
          <w:p w14:paraId="1654D9CE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50346FE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dužine, uočava međusobni odnos tek uz pomoć učitelja.</w:t>
            </w:r>
          </w:p>
        </w:tc>
        <w:tc>
          <w:tcPr>
            <w:tcW w:w="2504" w:type="dxa"/>
          </w:tcPr>
          <w:p w14:paraId="06B6CAD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i objašnjava jedinične dužine za mjerenje dužine, procjenjuje  međusobni odnos.</w:t>
            </w:r>
          </w:p>
        </w:tc>
        <w:tc>
          <w:tcPr>
            <w:tcW w:w="2924" w:type="dxa"/>
          </w:tcPr>
          <w:p w14:paraId="2D914C1D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Dovodi u vezu jedinične dužine za mjerenje dužine, tumači međusobni odnos.</w:t>
            </w:r>
          </w:p>
        </w:tc>
      </w:tr>
      <w:tr w14:paraId="31379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30AE0A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i crta dužinu zadane duljine.</w:t>
            </w:r>
          </w:p>
          <w:p w14:paraId="447F8F9A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6CB4EDE4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i crta dužinu zadane duljine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5764AB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dužinu, crta dužinu zadane duljine ne koristeći se geometrijskim priborom ili ga koristi na nepravilan način.</w:t>
            </w:r>
          </w:p>
          <w:p w14:paraId="74172C0D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3801E20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dužinu, crta dužinu zadane duljine koristeći se geometrijskim priborom tek uz podsjećanje na korištenje i pravilnu primjenu istoga.</w:t>
            </w:r>
          </w:p>
        </w:tc>
        <w:tc>
          <w:tcPr>
            <w:tcW w:w="2504" w:type="dxa"/>
          </w:tcPr>
          <w:p w14:paraId="626267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i crta dužinu zadane duljine koristeći se geometrijskim priborom uglavnom na ispravan način.</w:t>
            </w:r>
          </w:p>
          <w:p w14:paraId="3B49621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742C02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i crta dužinu zadane duljine koristeći  se geometrijskim priborom uvijek i na ispravan način.</w:t>
            </w:r>
          </w:p>
          <w:p w14:paraId="0944D8A3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365D1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224D8A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Mjeri dužinu odgovarajućim mjernim instrumentom i zadanom mjernom jediničnom dužinom.</w:t>
            </w:r>
          </w:p>
          <w:p w14:paraId="0AAC4CFB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0F11EA7E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mjeri dužinu odgovarajućim mjernim instrumentom i zadanom mjernom jediničnom dužinom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223BA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i neprecizno mjeri dužinu pripadajućim mjernim instrumentom i zadanom mjernom jediničnom dužinom.</w:t>
            </w:r>
          </w:p>
          <w:p w14:paraId="3D5D9BD0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3FAC7E1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Neprecizno mjeri dužinu pripadajućim mjernim instrumentom i zadanom mjernom jediničnom dužinom.</w:t>
            </w:r>
          </w:p>
          <w:p w14:paraId="4B2F400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576E20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Mjeri dužinu pripadajućim mjernim instrumentom i zadanom mjernom jediničnom dužinom.</w:t>
            </w:r>
          </w:p>
          <w:p w14:paraId="6EB95829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36E4C10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i precizno mjeri dužinu pripadajućim mjernim instrumentom i zadanom mjernom jediničnom dužinom.</w:t>
            </w:r>
          </w:p>
          <w:p w14:paraId="57781F7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173DF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4D2CBA47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Zapisuje duljinu dužine mjernim brojem i znakom mjerne jedinice. </w:t>
            </w:r>
          </w:p>
          <w:p w14:paraId="21D32473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3C2A1C48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zapisuje duljinu dužine mjernim brojem i znakom mjerne jedinice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E8A42A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Proizvoljno zapisuje duljinu dužine mjernim brojem i znakom mjerne jedinice. </w:t>
            </w:r>
          </w:p>
          <w:p w14:paraId="368BBB17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sz w:val="28"/>
                <w:szCs w:val="28"/>
                <w:lang w:eastAsia="hr-HR"/>
              </w:rPr>
            </w:pPr>
          </w:p>
        </w:tc>
        <w:tc>
          <w:tcPr>
            <w:tcW w:w="2505" w:type="dxa"/>
          </w:tcPr>
          <w:p w14:paraId="792B791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zapisuje duljinu dužine mjernim brojem i znakom mjerne jedinice. </w:t>
            </w:r>
          </w:p>
          <w:p w14:paraId="29953F64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13D1A70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Zapisuje duljinu dužine mjernim brojem i znakom mjerne jedinice. </w:t>
            </w:r>
          </w:p>
          <w:p w14:paraId="5DADB798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6D015D3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Rangira i zapisuje duljinu dužine mjernim brojem i znakom mjerne jedinice objašnjavajući razliku između istih. </w:t>
            </w:r>
          </w:p>
          <w:p w14:paraId="6C691B02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1C4DC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503C7BC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znakovima.</w:t>
            </w:r>
          </w:p>
          <w:p w14:paraId="300B5FF7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3F6D4E4A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duljinu dužine zapisuje matematičkim znakovima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F613244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duljinu dužine zapisuje matematičkim simbolima.</w:t>
            </w:r>
          </w:p>
        </w:tc>
        <w:tc>
          <w:tcPr>
            <w:tcW w:w="2505" w:type="dxa"/>
          </w:tcPr>
          <w:p w14:paraId="2ED23C30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duljinu dužine zapisuje matematičkim simbolima.</w:t>
            </w:r>
          </w:p>
        </w:tc>
        <w:tc>
          <w:tcPr>
            <w:tcW w:w="2504" w:type="dxa"/>
          </w:tcPr>
          <w:p w14:paraId="525BBCF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simbolima.</w:t>
            </w:r>
          </w:p>
        </w:tc>
        <w:tc>
          <w:tcPr>
            <w:tcW w:w="2924" w:type="dxa"/>
          </w:tcPr>
          <w:p w14:paraId="246D9DDC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simbolima dajući objašnjenja za svaki zapis.</w:t>
            </w:r>
          </w:p>
        </w:tc>
      </w:tr>
      <w:tr w14:paraId="20229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3D1DD8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Procjenjuje duljinu dužine (milimetar, centimetar, decimetar) i udaljenosti (metar, kilometar) odabirući optimalnu mjernu jedinicu.</w:t>
            </w:r>
          </w:p>
          <w:p w14:paraId="042BD7BF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21007D86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duljinu dužine (milimetar, centimetar, decimetar) i udaljenosti (metar, kilometar) odabirući optimalnu mjernu jedinicu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ADC4DEE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procjenjuje duljinu dužine i jednostavnije primjere usporedbe udaljenosti objekata u metrima.</w:t>
            </w:r>
          </w:p>
        </w:tc>
        <w:tc>
          <w:tcPr>
            <w:tcW w:w="2505" w:type="dxa"/>
          </w:tcPr>
          <w:p w14:paraId="60A66B8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i predloške procjenjuje duljinu dužine i najkraće udaljenosti objekata u metrima.</w:t>
            </w:r>
          </w:p>
        </w:tc>
        <w:tc>
          <w:tcPr>
            <w:tcW w:w="2504" w:type="dxa"/>
          </w:tcPr>
          <w:p w14:paraId="27204E6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Procjenjuje duljinu dužine i najkraće udaljenosti objekata u metrima.</w:t>
            </w:r>
          </w:p>
          <w:p w14:paraId="6B78834B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1D6D760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procjenjuje duljinu dužine i udaljenosti objekata u metrima.</w:t>
            </w:r>
          </w:p>
          <w:p w14:paraId="0951BF3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18B61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2634" w:type="dxa"/>
            <w:tcBorders>
              <w:right w:val="double" w:color="auto" w:sz="12" w:space="0"/>
            </w:tcBorders>
          </w:tcPr>
          <w:p w14:paraId="0E9E282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Računa s jedinicama za mjerenje dužine (u skupu brojeva do 1 000).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6476AD84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računa s jedinicama za mjerenje dužine (u skupu brojeva do 1000)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96DCA2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netočno računa s jedinicama za mjerenje dužine u skupu brojeva do </w:t>
            </w:r>
          </w:p>
          <w:p w14:paraId="0B54C60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1 000.</w:t>
            </w:r>
          </w:p>
          <w:p w14:paraId="37EB82E3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61090173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djelomičnom točnošću računa s jedinicama za mjerenje dužine u skupu brojeva do 1 000.</w:t>
            </w:r>
          </w:p>
        </w:tc>
        <w:tc>
          <w:tcPr>
            <w:tcW w:w="2504" w:type="dxa"/>
          </w:tcPr>
          <w:p w14:paraId="7CFEDB3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manju nesigurnost računa s jedinicama za mjerenje dužine u skupu brojeva do </w:t>
            </w:r>
          </w:p>
          <w:p w14:paraId="0D77CD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1 000.</w:t>
            </w:r>
          </w:p>
          <w:p w14:paraId="31898174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4801011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računa s jedinicama za mjerenje dužine u skupu brojeva do 1 000.</w:t>
            </w:r>
          </w:p>
          <w:p w14:paraId="03380F78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0B1EE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right w:val="single" w:color="auto" w:sz="4" w:space="0"/>
            </w:tcBorders>
            <w:shd w:val="clear" w:color="auto" w:fill="DEEAF6" w:themeFill="accent1" w:themeFillTint="33"/>
          </w:tcPr>
          <w:p w14:paraId="1D9C2AB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D.3.2. Procjenjuje i mjeri masu tijela.</w:t>
            </w:r>
          </w:p>
        </w:tc>
      </w:tr>
      <w:tr w14:paraId="420ED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3CAA6D3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712D19F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6A49248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130AC06F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1E852C0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75F7E4B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185BD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44C6E562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masu kao svojstvo tijela. 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1D5AAF0E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masu kao svojstvo tijela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6013C5C4">
            <w:pPr>
              <w:spacing w:after="0" w:line="240" w:lineRule="auto"/>
              <w:contextualSpacing/>
              <w:rPr>
                <w:rFonts w:ascii="Calibri" w:hAnsi="Calibri" w:eastAsia="Times New Roman" w:cs="Calibri"/>
                <w:sz w:val="24"/>
                <w:szCs w:val="24"/>
                <w:lang w:eastAsia="hr-HR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eastAsia="hr-HR"/>
              </w:rPr>
              <w:t>Uz vođenje učitelja</w:t>
            </w:r>
          </w:p>
          <w:p w14:paraId="3AFA666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kako je masa svojstvo tijela.</w:t>
            </w:r>
          </w:p>
        </w:tc>
        <w:tc>
          <w:tcPr>
            <w:tcW w:w="2505" w:type="dxa"/>
          </w:tcPr>
          <w:p w14:paraId="60E9A9DB">
            <w:pPr>
              <w:spacing w:after="0" w:line="240" w:lineRule="auto"/>
              <w:contextualSpacing/>
              <w:rPr>
                <w:rFonts w:ascii="Calibri" w:hAnsi="Calibri" w:eastAsia="Times New Roman" w:cs="Calibri"/>
                <w:sz w:val="24"/>
                <w:szCs w:val="24"/>
                <w:lang w:eastAsia="hr-HR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eastAsia="hr-HR"/>
              </w:rPr>
              <w:t>Prema zadanim smjernicama</w:t>
            </w:r>
          </w:p>
          <w:p w14:paraId="33367D3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kako je masa svojstvo tijela.</w:t>
            </w:r>
          </w:p>
        </w:tc>
        <w:tc>
          <w:tcPr>
            <w:tcW w:w="2504" w:type="dxa"/>
          </w:tcPr>
          <w:p w14:paraId="4C6E88FC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tumači i potkrjepljuje primjerima kako je masa svojstvo tijela.</w:t>
            </w:r>
          </w:p>
        </w:tc>
        <w:tc>
          <w:tcPr>
            <w:tcW w:w="2924" w:type="dxa"/>
          </w:tcPr>
          <w:p w14:paraId="478A1BD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Argumentirano tumači i potkrjepljuje primjerima kako je masa svojstvo tijela.</w:t>
            </w:r>
          </w:p>
        </w:tc>
      </w:tr>
      <w:tr w14:paraId="07593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73CEFDF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mase tijela.</w:t>
            </w:r>
          </w:p>
          <w:p w14:paraId="5A9F5D55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2ECC67D0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mase tijela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72B7598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vođenje „korak po korak“ uspoređuje mase zadanih tijela.</w:t>
            </w:r>
          </w:p>
        </w:tc>
        <w:tc>
          <w:tcPr>
            <w:tcW w:w="2505" w:type="dxa"/>
          </w:tcPr>
          <w:p w14:paraId="7EF3388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uspoređuje mase zadanih tijela.</w:t>
            </w:r>
          </w:p>
        </w:tc>
        <w:tc>
          <w:tcPr>
            <w:tcW w:w="2504" w:type="dxa"/>
          </w:tcPr>
          <w:p w14:paraId="53CCB02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mase zadanih tijela.</w:t>
            </w:r>
          </w:p>
        </w:tc>
        <w:tc>
          <w:tcPr>
            <w:tcW w:w="2924" w:type="dxa"/>
          </w:tcPr>
          <w:p w14:paraId="6E8F37B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Samostalno, precizno i točno uspoređuje mase različitih tijela.</w:t>
            </w:r>
          </w:p>
        </w:tc>
      </w:tr>
      <w:tr w14:paraId="23C39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3CEE967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mase (gram, dekagram, kilogram, tona).</w:t>
            </w: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280E684F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jedinice za mjerenje mase (gram, dekagram, kilogram, tona)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7A07E2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i asistenciju navodi jedinice za mjerenje mase.</w:t>
            </w:r>
          </w:p>
          <w:p w14:paraId="4BC470D2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13148D1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teškoće navodi jedinice za mjerenje mase.</w:t>
            </w:r>
          </w:p>
          <w:p w14:paraId="4A290520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1675B56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jedinice za mjerenje mase.</w:t>
            </w:r>
          </w:p>
          <w:p w14:paraId="22B6787D">
            <w:pPr>
              <w:spacing w:after="0" w:line="240" w:lineRule="auto"/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4D392169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zadatcima primjenjuje odnose mjernih jedinica za mjerenje mase. </w:t>
            </w:r>
          </w:p>
        </w:tc>
      </w:tr>
      <w:tr w14:paraId="0F5DD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3297127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Upoznaje različite vage i postupak vaganja.</w:t>
            </w:r>
          </w:p>
          <w:p w14:paraId="38EF686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5384441A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upoznaje različite vage i postupak vaganja“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143584B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Masu zadanih predmeta važe na neispavan način, ne vodeći računa o točnom zapisivanju mase predmeta.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64324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Vaganje i zapisivanje podataka vrši uz naputke učitelja. </w:t>
            </w: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787656B6">
            <w:pPr>
              <w:spacing w:after="0" w:line="240" w:lineRule="auto"/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Mase zadanih predmeta važe na ispravan način, podatke zapisuje uglavnom točno.</w:t>
            </w: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6EE983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Poznaje različite vage, njihove namjene te  postupak vaganja na njima uz primjenu optimalnih mjernih jedinica.</w:t>
            </w:r>
          </w:p>
        </w:tc>
      </w:tr>
      <w:tr w14:paraId="6752F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1558EA3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Procjenjuje i mjeri masu tijela te pravilno zapisuje dobivenu vrijednost (mjernim brojem i znakom jedinične veličine). </w:t>
            </w:r>
          </w:p>
          <w:p w14:paraId="4F671D0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41D227B5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i mjeri masu tijela te pravilno zapisuje dobivenu vrijednost (mjernim brojem i znakom jedinične veličine)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364A1622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procjenjuje masu promatranoga tijela, dobivene vrijednosti zapisuje uz asistenciju učitelja.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533FE5D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i predloške procjenjuje masu zadanoga tijela, dobivene vrijednosti zapisuje uz djelomičnu točnost.</w:t>
            </w: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792A735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Procjenjuje masu zadanoga tijela, pravilno zapisuje dobivenu vrijednost.</w:t>
            </w:r>
          </w:p>
          <w:p w14:paraId="5561AB52">
            <w:pPr>
              <w:spacing w:after="0" w:line="240" w:lineRule="auto"/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6CF8CE4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procjenjuje masu zadanoga tijela, brzo i pravilno zapisuje dobivenu vrijednost.</w:t>
            </w:r>
          </w:p>
          <w:p w14:paraId="1EF63B70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2DE86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2190B6D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Iskazuje odnose mjernih jedinica za masu.</w:t>
            </w: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47C2105F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iskazuje odnose mjernih jedinica za masu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7AFAD8EF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pomoć promatranih predložaka uspijeva iskazati odnose mjernih jedinica za masu.</w:t>
            </w: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04615385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 podršku učitelja iskazuje međusobne odnose mjernih jedinica za masu te usvojeno znanje primjenjuje u praktičnim situacijama.</w:t>
            </w: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24CDD130">
            <w:pPr>
              <w:spacing w:after="0" w:line="240" w:lineRule="auto"/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iskazuje međusobne odnose mjernih jedinica za masu te je usvojeno znanje u mogućnosti primjeniti.</w:t>
            </w: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06DED6F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Precizno i točno iskazuje međusobne odnose mjernih jedinica za masu te usvojeno znanje primjenjuje u praktičnim situacijama.</w:t>
            </w:r>
          </w:p>
        </w:tc>
      </w:tr>
      <w:tr w14:paraId="57030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bottom w:val="single" w:color="auto" w:sz="4" w:space="0"/>
              <w:right w:val="double" w:color="auto" w:sz="12" w:space="0"/>
            </w:tcBorders>
          </w:tcPr>
          <w:p w14:paraId="114682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Računa s jedinicama za masu tijela (u skupu brojeva do 1000).</w:t>
            </w:r>
          </w:p>
          <w:p w14:paraId="4D12C3F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  <w:bottom w:val="single" w:color="auto" w:sz="4" w:space="0"/>
            </w:tcBorders>
          </w:tcPr>
          <w:p w14:paraId="63F56CD1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računa s jedinicama za masu tijela (u skupu brojeva do 1000)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2BD44A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netočno računa s jedinicama za mjerenje mase u skupu brojeva do 1 000.</w:t>
            </w:r>
          </w:p>
          <w:p w14:paraId="595C78B3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color="auto" w:sz="4" w:space="0"/>
            </w:tcBorders>
          </w:tcPr>
          <w:p w14:paraId="4B8F3EA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djelomičnom točnošću računa s jedinicama za mjerenje mase u skupu brojeva do 1 000.</w:t>
            </w:r>
          </w:p>
        </w:tc>
        <w:tc>
          <w:tcPr>
            <w:tcW w:w="2504" w:type="dxa"/>
            <w:tcBorders>
              <w:bottom w:val="single" w:color="auto" w:sz="4" w:space="0"/>
            </w:tcBorders>
          </w:tcPr>
          <w:p w14:paraId="0E412FD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manju nesigurnost računa s jedinicama za mjerenje mase u skupu brojeva do 1 000.</w:t>
            </w:r>
          </w:p>
          <w:p w14:paraId="5163350E">
            <w:pPr>
              <w:spacing w:after="0" w:line="240" w:lineRule="auto"/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color="auto" w:sz="4" w:space="0"/>
            </w:tcBorders>
          </w:tcPr>
          <w:p w14:paraId="3541EE8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 točno računa s jedinicama za mjerenje mase u skupu brojeva do </w:t>
            </w:r>
          </w:p>
          <w:p w14:paraId="75D6225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1 000.</w:t>
            </w:r>
          </w:p>
          <w:p w14:paraId="65F73040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464B9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top w:val="single" w:color="auto" w:sz="12" w:space="0"/>
              <w:right w:val="single" w:color="auto" w:sz="4" w:space="0"/>
            </w:tcBorders>
            <w:shd w:val="clear" w:color="auto" w:fill="DEEAF6" w:themeFill="accent1" w:themeFillTint="33"/>
          </w:tcPr>
          <w:p w14:paraId="216BF96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D.3.3. Određuje opseg likova.</w:t>
            </w:r>
          </w:p>
        </w:tc>
      </w:tr>
      <w:tr w14:paraId="3B59A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5DF213A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2AE88E0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369DDB18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60EAE9C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2F18659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55FF39CF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36846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586061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opseg kao duljinu ruba bilo kojega geometrijskog lika.</w:t>
            </w:r>
          </w:p>
          <w:p w14:paraId="63A2910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6EA36E52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opseg kao duljinu ruba bilo kojega geometrijskog lika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98E62C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Nepotpuno citira opseg kao duljinu ruba bilo kojega geometrijskog lika bez dodatnog objašnjenja.</w:t>
            </w:r>
          </w:p>
          <w:p w14:paraId="4A1C4356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7D514F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Citira opseg kao duljinu ruba bilo kojega geometrijskog lika bez dodatnog objašnjenja.</w:t>
            </w:r>
          </w:p>
          <w:p w14:paraId="51754BE9">
            <w:pPr>
              <w:spacing w:after="0" w:line="240" w:lineRule="auto"/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4DAF1FC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značenje opsega, usvojeno znanje uglavnom samostalno koristi za rješavanje zadataka.</w:t>
            </w:r>
          </w:p>
          <w:p w14:paraId="16365024">
            <w:pPr>
              <w:spacing w:after="0" w:line="240" w:lineRule="auto"/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52623B6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Znanje o opsegu kao duljini ruba geometrijskoga lika koristi za rješavanje matematičkih problema.</w:t>
            </w:r>
          </w:p>
          <w:p w14:paraId="5E0D1250">
            <w:pPr>
              <w:spacing w:after="0" w:line="240" w:lineRule="auto"/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47425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52B7F20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Mjeri duljinu dužine.</w:t>
            </w:r>
          </w:p>
          <w:p w14:paraId="4DEE5B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4C3CAC29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mjeri duljinu dužine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4EA587D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vođenje i usmjeravanje mjeri duljine zadanih dužina, vrijednosti zapisuje uz poteškoće.</w:t>
            </w:r>
          </w:p>
        </w:tc>
        <w:tc>
          <w:tcPr>
            <w:tcW w:w="2505" w:type="dxa"/>
          </w:tcPr>
          <w:p w14:paraId="3F59595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naputke mjeri duljine zadanih dužina, vrijednosti zapisuje proizvoljno.</w:t>
            </w:r>
          </w:p>
        </w:tc>
        <w:tc>
          <w:tcPr>
            <w:tcW w:w="2504" w:type="dxa"/>
          </w:tcPr>
          <w:p w14:paraId="61C5195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mjeri duljine zadanih dužina zapisujući iste odgovarajućim mjernim jedinicama.</w:t>
            </w:r>
          </w:p>
        </w:tc>
        <w:tc>
          <w:tcPr>
            <w:tcW w:w="2924" w:type="dxa"/>
          </w:tcPr>
          <w:p w14:paraId="616A54C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Precizno mjeri duljine zadanih dužina zapisujući iste odgovarajućim mjernim jedinicama.</w:t>
            </w:r>
          </w:p>
        </w:tc>
      </w:tr>
      <w:tr w14:paraId="10B2E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2C94EFC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Mjeri opseg neformalnim i formalnim načinima.</w:t>
            </w:r>
          </w:p>
          <w:p w14:paraId="60F61A7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5C630227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mjeri opseg neformalnim i formalnim načinima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D567CB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procjenjuje i mjeri opseg formalnim načinima.</w:t>
            </w:r>
          </w:p>
        </w:tc>
        <w:tc>
          <w:tcPr>
            <w:tcW w:w="2505" w:type="dxa"/>
          </w:tcPr>
          <w:p w14:paraId="59FB5D8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 pomoć učitelja procjenjuje i mjeri opseg zadanoga lika formalnim načinima.</w:t>
            </w:r>
          </w:p>
        </w:tc>
        <w:tc>
          <w:tcPr>
            <w:tcW w:w="2504" w:type="dxa"/>
          </w:tcPr>
          <w:p w14:paraId="1B41121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mjeri opseg zadanoga lika neformalnim i formalnim načinima.</w:t>
            </w:r>
          </w:p>
        </w:tc>
        <w:tc>
          <w:tcPr>
            <w:tcW w:w="2924" w:type="dxa"/>
          </w:tcPr>
          <w:p w14:paraId="2A5EC4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rješenja prilikom mjerenja opsega različitih dimenzija i oblika, primjenjuje ih u praksi.</w:t>
            </w:r>
          </w:p>
        </w:tc>
      </w:tr>
      <w:tr w14:paraId="42531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3172980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Određuje opseg trokuta, pravokutnika i kvadrata kao zbroj duljina njihovih stranica. </w:t>
            </w:r>
          </w:p>
          <w:p w14:paraId="0E8BF69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2A8003EE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određuje opseg trokuta, pravokutnika i kvadrata kao zbroj duljina njihovih stranica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1FA696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navođenje određuje opseg geometrijskih likova kao zbroj duljina njihovih stranica. </w:t>
            </w:r>
          </w:p>
          <w:p w14:paraId="0C238BB8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47C28F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povremeni poticaj određuje opseg trokuta, pravokutnika i kvadrata kao zbroj duljina njihovih stranica. </w:t>
            </w:r>
          </w:p>
          <w:p w14:paraId="4AB3C58B">
            <w:pPr>
              <w:spacing w:after="0" w:line="240" w:lineRule="auto"/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54EE97C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Određuje opseg trokuta, pravokutnika i kvadrata kao zbroj duljina njihovih stranica. </w:t>
            </w:r>
          </w:p>
          <w:p w14:paraId="6DAE4C12">
            <w:pPr>
              <w:spacing w:after="0" w:line="240" w:lineRule="auto"/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52A941E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određuje opseg trokuta, pravokutnika i kvadrata kao zbroj duljina njihovih stranica samostalno izvodeći i primjenjujući formule za računanje opsega zadanih geometrijskih likova.</w:t>
            </w:r>
          </w:p>
        </w:tc>
      </w:tr>
      <w:tr w14:paraId="3427E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4BFBA6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Procjenjuje i mjeri opseg lika objašnjavajući postupak.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1038818C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i mjeri opseg lika objašnjavajući postupak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62CE8603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stalnu pomoć učitelja procjenjuje i mjeri opseg.</w:t>
            </w:r>
          </w:p>
        </w:tc>
        <w:tc>
          <w:tcPr>
            <w:tcW w:w="2505" w:type="dxa"/>
          </w:tcPr>
          <w:p w14:paraId="27F81D19">
            <w:pPr>
              <w:spacing w:after="0" w:line="240" w:lineRule="auto"/>
              <w:ind w:left="3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 pomoć učitelja procjenjuje i mjeri opseg zadanoga lika.</w:t>
            </w:r>
          </w:p>
        </w:tc>
        <w:tc>
          <w:tcPr>
            <w:tcW w:w="2504" w:type="dxa"/>
          </w:tcPr>
          <w:p w14:paraId="7481132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procjenjuje i mjeri opseg zadanoga lika.</w:t>
            </w:r>
          </w:p>
        </w:tc>
        <w:tc>
          <w:tcPr>
            <w:tcW w:w="2924" w:type="dxa"/>
          </w:tcPr>
          <w:p w14:paraId="16C8E5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procjenjuje i mjeri opseg zadanoga lika obrazlažući sve korake mjerenja.</w:t>
            </w:r>
          </w:p>
        </w:tc>
      </w:tr>
      <w:tr w14:paraId="62589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right w:val="single" w:color="auto" w:sz="4" w:space="0"/>
            </w:tcBorders>
            <w:shd w:val="clear" w:color="auto" w:fill="DEEAF6" w:themeFill="accent1" w:themeFillTint="33"/>
          </w:tcPr>
          <w:p w14:paraId="05D1F2B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D.3.4. Procjenjuje i mjeri volumen tekućine.</w:t>
            </w:r>
          </w:p>
        </w:tc>
      </w:tr>
      <w:tr w14:paraId="42525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7CA9086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7BB4F51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682C70A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0BEB11D6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5417FDA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376BEC3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3E046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0F7DAFF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pojam volumena (obujma, zapremnine) tekućine. 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63D4EF92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pojam volumena (obujma, zapremnine) tekućine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7AF7A780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Neprecizno i proizvoljno primjenjuje pojam volumena, zapremine ili obujma tekućine.</w:t>
            </w:r>
          </w:p>
        </w:tc>
        <w:tc>
          <w:tcPr>
            <w:tcW w:w="2505" w:type="dxa"/>
          </w:tcPr>
          <w:p w14:paraId="09E1D6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poticaj, u uglavnom odgovarajućem kontekstu, primjenjuje pojam volumena, zapremine ili obujma tekućine.</w:t>
            </w:r>
          </w:p>
        </w:tc>
        <w:tc>
          <w:tcPr>
            <w:tcW w:w="2504" w:type="dxa"/>
          </w:tcPr>
          <w:p w14:paraId="37E2862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pojam volumena, zapremine ili obujma tekućine u odgovarajućem kontekstu.</w:t>
            </w:r>
          </w:p>
        </w:tc>
        <w:tc>
          <w:tcPr>
            <w:tcW w:w="2924" w:type="dxa"/>
          </w:tcPr>
          <w:p w14:paraId="0840EE5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svom rječniku, spontano primjenjuje pojam volumena, zapremine ili obujma tekućine.</w:t>
            </w:r>
          </w:p>
        </w:tc>
      </w:tr>
      <w:tr w14:paraId="70933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317EF57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Upoznaje i uspoređuje različite posude za čuvanje tekućine.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6E9B4BD0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upoznaje i uspoređuje različite posude za čuvanje tekućine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6B8613F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uspoređuje različite posude za čuvanje tekućine.</w:t>
            </w:r>
          </w:p>
        </w:tc>
        <w:tc>
          <w:tcPr>
            <w:tcW w:w="2505" w:type="dxa"/>
          </w:tcPr>
          <w:p w14:paraId="7A77A34C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Upoznaje i uspoređuje različite posude za čuvanje tekućine.</w:t>
            </w:r>
          </w:p>
        </w:tc>
        <w:tc>
          <w:tcPr>
            <w:tcW w:w="2504" w:type="dxa"/>
          </w:tcPr>
          <w:p w14:paraId="5AC08CA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uspoređuje različite posude za čuvanje tekućine.</w:t>
            </w:r>
          </w:p>
        </w:tc>
        <w:tc>
          <w:tcPr>
            <w:tcW w:w="2924" w:type="dxa"/>
          </w:tcPr>
          <w:p w14:paraId="27E0A7D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Povezujući sa ranijim iskustvima predlaže različite namjene posuda za čuvanje tekućine.</w:t>
            </w:r>
          </w:p>
        </w:tc>
      </w:tr>
      <w:tr w14:paraId="45C6C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4848B98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vezu između oblika i volumena tekućine.</w:t>
            </w:r>
          </w:p>
          <w:p w14:paraId="7A3A0F5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206B33D4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vezu između oblika i volumena tekućine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0085CF5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najjednostavnijim primjerima i uz stalno vođenje opisuje vezu između oblika i volumena tekućine.</w:t>
            </w:r>
          </w:p>
          <w:p w14:paraId="4BB020E9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0D43232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jednostavnijim primjerima opisuje vezu između oblika i volumena tekućine.</w:t>
            </w:r>
          </w:p>
          <w:p w14:paraId="3EEB5CC4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6DD5C07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vezu između oblika i volumena tekućine.</w:t>
            </w:r>
          </w:p>
          <w:p w14:paraId="6652A80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71CAD4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Argumentirano opisuje vezu između oblika i volumena tekućine koristeći se ranijim iskustvima i procjenom.</w:t>
            </w:r>
          </w:p>
          <w:p w14:paraId="0C056380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7866B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1C294D4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Procjenjuje i mjeri volumen tekućine prelijevanjem.</w:t>
            </w:r>
          </w:p>
          <w:p w14:paraId="58A4CD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4577EC37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i mjeri volumen tekućine prelijevanjem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4ADE368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stalnu pomoć učitelja procjenjuje i mjeri volumen.</w:t>
            </w:r>
          </w:p>
        </w:tc>
        <w:tc>
          <w:tcPr>
            <w:tcW w:w="2505" w:type="dxa"/>
          </w:tcPr>
          <w:p w14:paraId="3DF9D610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 pomoć učitelja procjenjuje i mjeri volumen.</w:t>
            </w:r>
          </w:p>
        </w:tc>
        <w:tc>
          <w:tcPr>
            <w:tcW w:w="2504" w:type="dxa"/>
          </w:tcPr>
          <w:p w14:paraId="3495F004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procjenjuje i mjeri volumen.</w:t>
            </w:r>
          </w:p>
        </w:tc>
        <w:tc>
          <w:tcPr>
            <w:tcW w:w="2924" w:type="dxa"/>
          </w:tcPr>
          <w:p w14:paraId="772598E0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standardne mjerne jedinice za tekućinu, točno procjenjuje i mjeri volumen.</w:t>
            </w:r>
          </w:p>
        </w:tc>
      </w:tr>
      <w:tr w14:paraId="085E1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3ADE71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decilitar).</w:t>
            </w:r>
          </w:p>
          <w:p w14:paraId="4946EC4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1A552318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„i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menuje jedinice za mjerenje volumena tekućine (litra, decilitar)</w:t>
            </w:r>
          </w:p>
          <w:p w14:paraId="40E4680B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63DB523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 nestalnom točnošću.</w:t>
            </w:r>
          </w:p>
          <w:p w14:paraId="1578439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31363AB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decilitar).</w:t>
            </w:r>
          </w:p>
          <w:p w14:paraId="41C4D5C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374A5E2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standardne mjerne jedinice za tekućinu uglavnom uspješno ih stavljajući u suodnos.</w:t>
            </w:r>
          </w:p>
        </w:tc>
        <w:tc>
          <w:tcPr>
            <w:tcW w:w="2924" w:type="dxa"/>
          </w:tcPr>
          <w:p w14:paraId="750EE91A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eastAsia="hr-HR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eastAsia="hr-HR"/>
              </w:rPr>
              <w:t>U zadatcima primjenjuje odnose mjernih jedinica za tekućine.</w:t>
            </w:r>
          </w:p>
          <w:p w14:paraId="3B09F73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3544D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shd w:val="clear" w:color="auto" w:fill="C5E0B3" w:themeFill="accent6" w:themeFillTint="66"/>
          </w:tcPr>
          <w:p w14:paraId="620357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lang w:eastAsia="hr-HR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PODACI, STATISTIKA I VJEROJATNOST</w:t>
            </w:r>
          </w:p>
        </w:tc>
      </w:tr>
      <w:tr w14:paraId="0F77A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9" w:type="dxa"/>
            <w:gridSpan w:val="6"/>
            <w:tcBorders>
              <w:right w:val="single" w:color="auto" w:sz="4" w:space="0"/>
            </w:tcBorders>
            <w:shd w:val="clear" w:color="auto" w:fill="DEEAF6" w:themeFill="accent1" w:themeFillTint="33"/>
          </w:tcPr>
          <w:p w14:paraId="2C107C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E.3.1. Služi se različitim prikazima podataka.</w:t>
            </w:r>
          </w:p>
        </w:tc>
      </w:tr>
      <w:tr w14:paraId="0E8FA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7D1DA2C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74FB0223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5C8DE223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4A29486F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2CCC9D7F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40C2DC7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1F675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53244DB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Nabraja različite vrste prikaza podataka.</w:t>
            </w:r>
          </w:p>
          <w:p w14:paraId="37835E60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45C85B25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nabraja različite vrste prikaza podataka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3C2F2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nabraja različite vrste prikaza podataka.</w:t>
            </w:r>
          </w:p>
          <w:p w14:paraId="325D8537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277CD33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Nabraja različite vrste prikaza podataka.</w:t>
            </w:r>
          </w:p>
          <w:p w14:paraId="48CC629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63EF7C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objašnjava razlike između različitih grafova, tablica i dijagrama.</w:t>
            </w:r>
          </w:p>
        </w:tc>
        <w:tc>
          <w:tcPr>
            <w:tcW w:w="2924" w:type="dxa"/>
          </w:tcPr>
          <w:p w14:paraId="758F8ED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objašnjava razlike između različitih grafova, tablica i dijagrama predlažući različite grafove za unos različitih podataka.</w:t>
            </w:r>
          </w:p>
        </w:tc>
      </w:tr>
      <w:tr w14:paraId="6364D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5A7C8C97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nazivima redak i stupac. </w:t>
            </w: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772A660D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nazivima redak i stupac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09A01D3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Metodom pokušaja i pogrešaka se koristi nazivima redak i stupac. </w:t>
            </w:r>
          </w:p>
        </w:tc>
        <w:tc>
          <w:tcPr>
            <w:tcW w:w="2505" w:type="dxa"/>
          </w:tcPr>
          <w:p w14:paraId="1F44D44B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se koristi nazivima redak i stupac. </w:t>
            </w:r>
          </w:p>
        </w:tc>
        <w:tc>
          <w:tcPr>
            <w:tcW w:w="2504" w:type="dxa"/>
          </w:tcPr>
          <w:p w14:paraId="2E911684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nazivima redak i stupac. </w:t>
            </w:r>
          </w:p>
        </w:tc>
        <w:tc>
          <w:tcPr>
            <w:tcW w:w="2924" w:type="dxa"/>
          </w:tcPr>
          <w:p w14:paraId="0F19948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Kao dio svakodnevnog govora koristi izraze redak i stupac.</w:t>
            </w:r>
          </w:p>
        </w:tc>
      </w:tr>
      <w:tr w14:paraId="6B6C3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</w:tcPr>
          <w:p w14:paraId="59761E3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Prikazuje podatke u tablicama i stupčastim dijagramima.</w:t>
            </w:r>
          </w:p>
          <w:p w14:paraId="2E1ED6AA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color="auto" w:sz="12" w:space="0"/>
            </w:tcBorders>
          </w:tcPr>
          <w:p w14:paraId="701DF426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prikazuje podatke u tablicama i stupčastim dijagramima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04ED3B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i usmjeravanje prikazuje podatke u tablicama i stupčastim dijagramima.</w:t>
            </w:r>
          </w:p>
          <w:p w14:paraId="482C3F14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794B0F3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Uvrštava podatke u jednostavnije zadane  tablice i stupčaste</w:t>
            </w:r>
          </w:p>
          <w:p w14:paraId="19E044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dijagrame.</w:t>
            </w:r>
          </w:p>
          <w:p w14:paraId="647CC40C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6688655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prikazuje podatke u zadanim tablicama i stupčastim dijagramima.</w:t>
            </w:r>
          </w:p>
          <w:p w14:paraId="2179DBC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5AF1057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konstruira različite oblike tablica i dijagrama te u njih točno upisuje podatke.</w:t>
            </w:r>
          </w:p>
        </w:tc>
      </w:tr>
      <w:tr w14:paraId="7B10F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tcBorders>
              <w:right w:val="double" w:color="auto" w:sz="12" w:space="0"/>
            </w:tcBorders>
            <w:shd w:val="clear" w:color="auto" w:fill="FFFFFF" w:themeFill="background1"/>
          </w:tcPr>
          <w:p w14:paraId="3151EADB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različitim prikazima podataka.</w:t>
            </w:r>
          </w:p>
        </w:tc>
        <w:tc>
          <w:tcPr>
            <w:tcW w:w="2937" w:type="dxa"/>
            <w:tcBorders>
              <w:left w:val="double" w:color="auto" w:sz="12" w:space="0"/>
            </w:tcBorders>
            <w:shd w:val="clear" w:color="auto" w:fill="FFFFFF" w:themeFill="background1"/>
          </w:tcPr>
          <w:p w14:paraId="2EABA229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služi se različitim prikazima podataka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shd w:val="clear" w:color="auto" w:fill="FFFFFF" w:themeFill="background1"/>
          </w:tcPr>
          <w:p w14:paraId="0978C72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vođenje učitelja podatke razvrstava u točno zadane forme.</w:t>
            </w:r>
          </w:p>
        </w:tc>
        <w:tc>
          <w:tcPr>
            <w:tcW w:w="2505" w:type="dxa"/>
            <w:shd w:val="clear" w:color="auto" w:fill="FFFFFF" w:themeFill="background1"/>
          </w:tcPr>
          <w:p w14:paraId="797BF45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podatke razvrstava u unaprijed zadane forme.</w:t>
            </w:r>
          </w:p>
        </w:tc>
        <w:tc>
          <w:tcPr>
            <w:tcW w:w="2504" w:type="dxa"/>
            <w:shd w:val="clear" w:color="auto" w:fill="FFFFFF" w:themeFill="background1"/>
          </w:tcPr>
          <w:p w14:paraId="235A502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Razvrstava podatke u različite vrste grafova pri čemu odabire primjerene prikaze za određeni podatak.</w:t>
            </w:r>
          </w:p>
        </w:tc>
        <w:tc>
          <w:tcPr>
            <w:tcW w:w="2924" w:type="dxa"/>
            <w:shd w:val="clear" w:color="auto" w:fill="FFFFFF" w:themeFill="background1"/>
          </w:tcPr>
          <w:p w14:paraId="5AC2B7C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Razvrstava podatke u različite vrste grafova koje sam/sama konstruira i osmišljava te se njima služi u rješavanju problema.</w:t>
            </w:r>
          </w:p>
        </w:tc>
      </w:tr>
    </w:tbl>
    <w:p w14:paraId="67E636D5">
      <w:pPr>
        <w:jc w:val="center"/>
        <w:rPr>
          <w:rFonts w:cstheme="minorHAnsi"/>
          <w:b/>
          <w:sz w:val="28"/>
        </w:rPr>
      </w:pPr>
    </w:p>
    <w:p w14:paraId="741842CC">
      <w:pPr>
        <w:jc w:val="center"/>
        <w:rPr>
          <w:rFonts w:cstheme="minorHAnsi"/>
          <w:b/>
          <w:sz w:val="28"/>
        </w:rPr>
      </w:pPr>
    </w:p>
    <w:p w14:paraId="3C81ABB7">
      <w:pPr>
        <w:jc w:val="center"/>
        <w:rPr>
          <w:rFonts w:cstheme="minorHAnsi"/>
          <w:b/>
          <w:sz w:val="28"/>
        </w:rPr>
      </w:pPr>
    </w:p>
    <w:p w14:paraId="419D9575">
      <w:pPr>
        <w:jc w:val="center"/>
        <w:rPr>
          <w:rFonts w:cstheme="minorHAnsi"/>
          <w:b/>
          <w:sz w:val="28"/>
        </w:rPr>
      </w:pPr>
    </w:p>
    <w:p w14:paraId="7EA6F5EC">
      <w:pPr>
        <w:jc w:val="center"/>
        <w:rPr>
          <w:rFonts w:cstheme="minorHAnsi"/>
          <w:b/>
          <w:sz w:val="28"/>
        </w:rPr>
      </w:pPr>
    </w:p>
    <w:p w14:paraId="5BF82621">
      <w:pPr>
        <w:jc w:val="center"/>
        <w:rPr>
          <w:rFonts w:cstheme="minorHAnsi"/>
          <w:b/>
          <w:sz w:val="28"/>
        </w:rPr>
      </w:pPr>
    </w:p>
    <w:p w14:paraId="5B413947">
      <w:pPr>
        <w:jc w:val="center"/>
        <w:rPr>
          <w:rFonts w:cstheme="minorHAnsi"/>
          <w:b/>
          <w:sz w:val="28"/>
        </w:rPr>
      </w:pPr>
    </w:p>
    <w:p w14:paraId="435284DA">
      <w:pPr>
        <w:jc w:val="center"/>
        <w:rPr>
          <w:rFonts w:cstheme="minorHAnsi"/>
          <w:b/>
          <w:sz w:val="28"/>
        </w:rPr>
      </w:pPr>
    </w:p>
    <w:p w14:paraId="7F20251C">
      <w:pPr>
        <w:jc w:val="center"/>
        <w:rPr>
          <w:rFonts w:cstheme="minorHAnsi"/>
          <w:b/>
          <w:sz w:val="28"/>
        </w:rPr>
      </w:pPr>
    </w:p>
    <w:p w14:paraId="25F818BE">
      <w:pPr>
        <w:jc w:val="center"/>
        <w:rPr>
          <w:rFonts w:cstheme="minorHAnsi"/>
          <w:b/>
          <w:sz w:val="28"/>
        </w:rPr>
      </w:pPr>
    </w:p>
    <w:p w14:paraId="79EB93F7">
      <w:pPr>
        <w:jc w:val="center"/>
        <w:rPr>
          <w:rFonts w:cstheme="minorHAnsi"/>
          <w:b/>
          <w:sz w:val="28"/>
        </w:rPr>
      </w:pPr>
    </w:p>
    <w:p w14:paraId="3CACB4BD">
      <w:pPr>
        <w:jc w:val="center"/>
        <w:rPr>
          <w:rFonts w:cstheme="minorHAnsi"/>
          <w:b/>
          <w:sz w:val="28"/>
        </w:rPr>
      </w:pPr>
    </w:p>
    <w:p w14:paraId="06E666FE">
      <w:pPr>
        <w:jc w:val="center"/>
        <w:rPr>
          <w:rFonts w:cstheme="minorHAnsi"/>
          <w:b/>
          <w:sz w:val="28"/>
        </w:rPr>
      </w:pPr>
    </w:p>
    <w:p w14:paraId="25D44C80">
      <w:pPr>
        <w:jc w:val="center"/>
        <w:rPr>
          <w:rFonts w:cstheme="minorHAnsi"/>
          <w:b/>
          <w:sz w:val="28"/>
        </w:rPr>
      </w:pPr>
    </w:p>
    <w:p w14:paraId="55A249DC">
      <w:pPr>
        <w:jc w:val="center"/>
        <w:rPr>
          <w:rFonts w:cstheme="minorHAnsi"/>
          <w:b/>
          <w:sz w:val="28"/>
        </w:rPr>
      </w:pPr>
    </w:p>
    <w:p w14:paraId="4EE27D72">
      <w:pPr>
        <w:jc w:val="center"/>
        <w:rPr>
          <w:rFonts w:cstheme="minorHAnsi"/>
          <w:b/>
          <w:sz w:val="28"/>
        </w:rPr>
      </w:pPr>
    </w:p>
    <w:p w14:paraId="50CC98EE">
      <w:pPr>
        <w:jc w:val="center"/>
        <w:rPr>
          <w:rFonts w:cstheme="minorHAnsi"/>
          <w:b/>
          <w:sz w:val="28"/>
        </w:rPr>
      </w:pPr>
    </w:p>
    <w:p w14:paraId="25583F98">
      <w:pPr>
        <w:jc w:val="center"/>
        <w:rPr>
          <w:rFonts w:cstheme="minorHAnsi"/>
          <w:b/>
          <w:sz w:val="40"/>
        </w:rPr>
      </w:pPr>
      <w:r>
        <w:rPr>
          <w:rFonts w:cstheme="minorHAnsi"/>
          <w:b/>
          <w:sz w:val="28"/>
        </w:rPr>
        <w:t>NASTAVNI PREDMET:  PRIRODA I DRUŠTVO</w:t>
      </w:r>
    </w:p>
    <w:p w14:paraId="458C8329">
      <w:pPr>
        <w:pStyle w:val="14"/>
        <w:ind w:left="-142" w:firstLine="284"/>
        <w:rPr>
          <w:rFonts w:asciiTheme="minorHAnsi" w:hAnsiTheme="minorHAnsi" w:cstheme="minorHAnsi"/>
          <w:b/>
          <w:i/>
          <w:sz w:val="28"/>
        </w:rPr>
      </w:pPr>
      <w:r>
        <w:rPr>
          <w:rFonts w:asciiTheme="minorHAnsi" w:hAnsiTheme="minorHAnsi" w:cstheme="minorHAnsi"/>
          <w:b/>
          <w:i/>
          <w:sz w:val="28"/>
        </w:rPr>
        <w:t xml:space="preserve">Kurikulum nastavnoga predmeta Priroda i društvo obuhvaća koncepte: </w:t>
      </w:r>
    </w:p>
    <w:p w14:paraId="3A9086AC">
      <w:pPr>
        <w:pStyle w:val="14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Organiziranost svijeta oko nas (oznaka A), </w:t>
      </w:r>
    </w:p>
    <w:p w14:paraId="558B58F6">
      <w:pPr>
        <w:pStyle w:val="14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Promjene i odnosi (oznaka B), </w:t>
      </w:r>
    </w:p>
    <w:p w14:paraId="5DE0C575">
      <w:pPr>
        <w:pStyle w:val="14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Pojedinac i društvo (oznaka C) </w:t>
      </w:r>
    </w:p>
    <w:p w14:paraId="13040F85">
      <w:pPr>
        <w:pStyle w:val="14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</w:rPr>
        <w:t>Energija (oznaka D).</w:t>
      </w:r>
    </w:p>
    <w:p w14:paraId="1DD41804">
      <w:pPr>
        <w:pStyle w:val="20"/>
        <w:rPr>
          <w:rFonts w:asciiTheme="minorHAnsi" w:hAnsiTheme="minorHAnsi" w:cstheme="minorHAnsi"/>
          <w:b/>
          <w:i/>
          <w:sz w:val="28"/>
        </w:rPr>
      </w:pPr>
      <w:r>
        <w:rPr>
          <w:rFonts w:asciiTheme="minorHAnsi" w:hAnsiTheme="minorHAnsi" w:cstheme="minorHAnsi"/>
          <w:b/>
          <w:i/>
          <w:sz w:val="28"/>
        </w:rPr>
        <w:t>U nastavnome predmetu Priroda i društvo dva su elementa vrednovanja:</w:t>
      </w:r>
    </w:p>
    <w:p w14:paraId="6CAA1BDB">
      <w:pPr>
        <w:pStyle w:val="20"/>
        <w:numPr>
          <w:ilvl w:val="0"/>
          <w:numId w:val="17"/>
        </w:numPr>
        <w:ind w:left="709" w:hanging="283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usvojenost znanja</w:t>
      </w:r>
    </w:p>
    <w:p w14:paraId="54FB888F">
      <w:pPr>
        <w:pStyle w:val="20"/>
        <w:numPr>
          <w:ilvl w:val="0"/>
          <w:numId w:val="17"/>
        </w:numPr>
        <w:ind w:left="709" w:hanging="283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istraživačke vještine.</w:t>
      </w:r>
    </w:p>
    <w:p w14:paraId="50B2B449">
      <w:pPr>
        <w:spacing w:after="0" w:line="240" w:lineRule="auto"/>
        <w:rPr>
          <w:rFonts w:eastAsia="Times New Roman" w:cstheme="minorHAnsi"/>
          <w:i/>
          <w:color w:val="232323"/>
          <w:sz w:val="28"/>
          <w:szCs w:val="28"/>
          <w:lang w:eastAsia="hr-HR"/>
        </w:rPr>
      </w:pPr>
    </w:p>
    <w:p w14:paraId="72BB224B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</w:pPr>
      <w:r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  <w:t xml:space="preserve">Sadržaji vrednovanja </w:t>
      </w:r>
      <w:r>
        <w:rPr>
          <w:rFonts w:cstheme="minorHAnsi"/>
          <w:b/>
          <w:i/>
          <w:sz w:val="28"/>
        </w:rPr>
        <w:t>nastavnome predmetu Priroda su:</w:t>
      </w:r>
    </w:p>
    <w:p w14:paraId="101F85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razgovor, pitanja i odgovori (usmeni odgovori) </w:t>
      </w:r>
      <w:r>
        <w:rPr>
          <w:rFonts w:eastAsia="Times New Roman" w:cstheme="minorHAnsi"/>
          <w:i/>
          <w:color w:val="232323"/>
          <w:sz w:val="24"/>
          <w:szCs w:val="24"/>
          <w:lang w:eastAsia="hr-HR"/>
        </w:rPr>
        <w:t> </w:t>
      </w:r>
    </w:p>
    <w:p w14:paraId="246146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zadataka pisane provjere znanja </w:t>
      </w:r>
    </w:p>
    <w:p w14:paraId="42E572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problemskih zadataka </w:t>
      </w:r>
    </w:p>
    <w:p w14:paraId="776B23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tumačenje grafičkih organizatora znanja i/ili tablično/grafički prikazanih rezultata znanstvenih istraživanja </w:t>
      </w:r>
    </w:p>
    <w:p w14:paraId="6435AC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izvedba pokusa ili istraživanja prema pisanom protokolu </w:t>
      </w:r>
    </w:p>
    <w:p w14:paraId="7A254D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obrazloženje izvedenog pokusa ili istraživanja </w:t>
      </w:r>
    </w:p>
    <w:p w14:paraId="0429A0F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izvješća o provedenom istraživanju prema unaprijed utvrđenim kriterijima </w:t>
      </w:r>
    </w:p>
    <w:p w14:paraId="4C119A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konceptualnih i/ili umnih mapa, križaljki, pitalica, rebusa, kvizova, stripova, infografika prema unaprijed utvrđenim kriterijima </w:t>
      </w:r>
    </w:p>
    <w:p w14:paraId="5A710C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plakata, prezentacija, seminara prema unaprijed utvrđenim kriterijima. </w:t>
      </w:r>
    </w:p>
    <w:p w14:paraId="3DEB10E6">
      <w:pPr>
        <w:rPr>
          <w:rFonts w:cstheme="minorHAnsi"/>
          <w:b/>
          <w:i/>
          <w:sz w:val="24"/>
          <w:szCs w:val="24"/>
        </w:rPr>
      </w:pPr>
    </w:p>
    <w:p w14:paraId="7DF42942">
      <w:pPr>
        <w:pStyle w:val="17"/>
        <w:textAlignment w:val="baseline"/>
        <w:rPr>
          <w:rStyle w:val="19"/>
          <w:rFonts w:asciiTheme="minorHAnsi" w:hAnsiTheme="minorHAnsi" w:cstheme="minorHAnsi"/>
          <w:b/>
          <w:sz w:val="28"/>
        </w:rPr>
      </w:pPr>
      <w:r>
        <w:rPr>
          <w:rStyle w:val="19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Fonts w:asciiTheme="minorHAnsi" w:hAnsiTheme="minorHAnsi" w:cstheme="minorHAnsi"/>
          <w:b/>
          <w:sz w:val="28"/>
        </w:rPr>
        <w:t>Prirodu i društvo</w:t>
      </w:r>
      <w:r>
        <w:rPr>
          <w:rStyle w:val="19"/>
          <w:rFonts w:asciiTheme="minorHAnsi" w:hAnsiTheme="minorHAnsi" w:cstheme="minorHAnsi"/>
          <w:b/>
          <w:sz w:val="28"/>
        </w:rPr>
        <w:t>.</w:t>
      </w:r>
    </w:p>
    <w:p w14:paraId="1ADFC3C9">
      <w:pPr>
        <w:rPr>
          <w:rFonts w:cstheme="minorHAnsi"/>
          <w:b/>
          <w:sz w:val="24"/>
          <w:szCs w:val="24"/>
        </w:rPr>
      </w:pPr>
    </w:p>
    <w:p w14:paraId="1566C4C6">
      <w:pPr>
        <w:rPr>
          <w:rFonts w:cstheme="minorHAnsi"/>
          <w:b/>
          <w:sz w:val="24"/>
          <w:szCs w:val="24"/>
        </w:rPr>
      </w:pPr>
    </w:p>
    <w:p w14:paraId="22978FBC">
      <w:pPr>
        <w:rPr>
          <w:rFonts w:cstheme="minorHAnsi"/>
          <w:b/>
          <w:sz w:val="24"/>
          <w:szCs w:val="24"/>
        </w:rPr>
      </w:pPr>
    </w:p>
    <w:tbl>
      <w:tblPr>
        <w:tblStyle w:val="13"/>
        <w:tblW w:w="15528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1"/>
        <w:gridCol w:w="2680"/>
        <w:gridCol w:w="2514"/>
        <w:gridCol w:w="2515"/>
        <w:gridCol w:w="2514"/>
        <w:gridCol w:w="2654"/>
      </w:tblGrid>
      <w:tr w14:paraId="4DC8C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tcBorders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14:paraId="2B71F4CB">
            <w:pPr>
              <w:spacing w:after="0" w:line="240" w:lineRule="auto"/>
              <w:ind w:left="228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A. ORGANIZIRANOST SVIJETA OKO NAS</w:t>
            </w:r>
          </w:p>
        </w:tc>
      </w:tr>
      <w:tr w14:paraId="76994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tcBorders>
              <w:right w:val="single" w:color="auto" w:sz="4" w:space="0"/>
            </w:tcBorders>
            <w:shd w:val="clear" w:color="auto" w:fill="DEEAF6" w:themeFill="accent1" w:themeFillTint="33"/>
          </w:tcPr>
          <w:p w14:paraId="2B6902B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A.3.1. Učenik zaključuje o organiziranosti prirode.</w:t>
            </w:r>
          </w:p>
        </w:tc>
      </w:tr>
      <w:tr w14:paraId="3D0BA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710CFDD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1A7425E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74DF23A6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2F67868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319FA54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549396C3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381D1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05D470A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osnovna obilježja živih bića.</w:t>
            </w:r>
          </w:p>
          <w:p w14:paraId="027D5513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1D355C9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osnovna obilježja živih bića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32E10E2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neka od osnovnih obilježja živih bića.</w:t>
            </w:r>
          </w:p>
        </w:tc>
        <w:tc>
          <w:tcPr>
            <w:tcW w:w="2515" w:type="dxa"/>
          </w:tcPr>
          <w:p w14:paraId="394A7A8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Prepoznaje osnovna obilježja živih bića.</w:t>
            </w:r>
          </w:p>
        </w:tc>
        <w:tc>
          <w:tcPr>
            <w:tcW w:w="2514" w:type="dxa"/>
          </w:tcPr>
          <w:p w14:paraId="50D4A5C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Opisuje osnovna obilježja živih bića.</w:t>
            </w:r>
          </w:p>
          <w:p w14:paraId="794B715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08E8675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Opisuje i uspoređuje osnovna obilježja živih bića.</w:t>
            </w:r>
          </w:p>
          <w:p w14:paraId="5E492BA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14:paraId="7783C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267609C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Razvrstava biljke iz zavičaja u skupine prema odabranome kriteriju (zeljaste, drvenaste, vazdazelene i sl.).</w:t>
            </w:r>
          </w:p>
          <w:p w14:paraId="770AD6A5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75D96389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razvrstava biljke iz zavičaja u skupine prema odabranome kriteriju (zeljaste, drvenaste, vazdazelene i sl.)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FCC78AE">
            <w:pPr>
              <w:spacing w:after="0" w:line="240" w:lineRule="auto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Isključivo uz predložak i uz stalne upute razvrstava biljke iz zavičaja u skupine prema odabranome kriteriju (zeljaste, drvenaste, vazdazelene i sl.).</w:t>
            </w:r>
          </w:p>
        </w:tc>
        <w:tc>
          <w:tcPr>
            <w:tcW w:w="2515" w:type="dxa"/>
          </w:tcPr>
          <w:p w14:paraId="2D5B091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Razvrstava biljke iz zavičaja u skupine prema odabranome kriteriju (zeljaste, drvenaste, vazdazelene i sl.) prema unaprijed određenim kriterijima.</w:t>
            </w:r>
          </w:p>
          <w:p w14:paraId="523E731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1877EBA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Razvrstava biljke iz zavičaja u skupine prema odabranome kriteriju (zeljaste, drvenaste, vazdazelene i sl.).</w:t>
            </w:r>
          </w:p>
          <w:p w14:paraId="40D1346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4B993A8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Razvrstava biljke iz zavičaja u skupine prema odabranome kriteriju (zeljaste, drvenaste, vazdazelene i sl.) bez dodatne pomoći. Objašnjava razvrstano.</w:t>
            </w:r>
          </w:p>
          <w:p w14:paraId="34D5575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14:paraId="438E0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4BAF2F5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obilježja životinja u svome zavičaju te ih razvrstava u skupine (npr. mesožderi, biljožderi ili svežderi i sl.).</w:t>
            </w:r>
          </w:p>
          <w:p w14:paraId="163D40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46E9F49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obilježja životinja u svome zavičaju te ih razvrstava u skupine (npr. mesožderi, biljožderi ili svežderi i sl.)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5066BEA8">
            <w:pPr>
              <w:spacing w:after="0" w:line="240" w:lineRule="auto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Djelomično prepoznaje obilježja životinja u svome zavičaju te ih uz pomoć i prema primjerima razvrstava u skupine (npr. mesožderi, biljožderi ili svežderi i sl.).</w:t>
            </w:r>
          </w:p>
          <w:p w14:paraId="18585152">
            <w:pPr>
              <w:spacing w:after="0" w:line="240" w:lineRule="auto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2515" w:type="dxa"/>
          </w:tcPr>
          <w:p w14:paraId="10AD11A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Prepoznaje obilježja životinja u svome zavičaju te ih prema određenom planu i kriterijima razvrstava u skupine (npr. mesožderi, biljožderi ili svežderi i sl.).</w:t>
            </w:r>
          </w:p>
          <w:p w14:paraId="0F3466D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5A8B906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Prepoznaje obilježja životinja u svome zavičaju te ih razvrstava u skupine (npr. mesožderi, biljožderi ili svežderi i sl.) uz kraće dodatne upute.</w:t>
            </w:r>
          </w:p>
          <w:p w14:paraId="68594A5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372FC3F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obilježja životinja u svome zavičaju te ih razvrstava u skupine (npr. mesožderi, biljožderi ili svežderi i sl.).</w:t>
            </w:r>
          </w:p>
          <w:p w14:paraId="4485294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41832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0E05EB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osnovne dijelove biljke i njihovu ulogu.</w:t>
            </w:r>
          </w:p>
          <w:p w14:paraId="4EB214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20CF9128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osnovne dijelove biljke i njihovu ulogu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3E7DC0EF">
            <w:pPr>
              <w:spacing w:after="0" w:line="240" w:lineRule="auto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Prepoznaje neke od osnovnih dijelova biljke.</w:t>
            </w:r>
          </w:p>
          <w:p w14:paraId="56006560">
            <w:pPr>
              <w:spacing w:after="0" w:line="240" w:lineRule="auto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2515" w:type="dxa"/>
          </w:tcPr>
          <w:p w14:paraId="795F615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Prepoznaje osnovne dijelove biljke, ali  njihovu ulogu prepoznaje uz pomoć.</w:t>
            </w:r>
          </w:p>
          <w:p w14:paraId="683DF66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5B275D7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Prepoznaje osnovne dijelove biljke i njihovu ulogu.</w:t>
            </w:r>
          </w:p>
          <w:p w14:paraId="2C22C82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103984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osnovne dijelove biljke i objašnjava  njihovu ulogu.</w:t>
            </w:r>
          </w:p>
          <w:p w14:paraId="4D6547E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090F6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11A5E72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 različita svojstva i stanja vode.</w:t>
            </w:r>
          </w:p>
          <w:p w14:paraId="4D5FC30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6DCA07C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različita svojstva i stanja vode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A9989D9">
            <w:pPr>
              <w:spacing w:after="0" w:line="240" w:lineRule="auto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U malim spoznajnim koracima i uz stalno nadgledanje istražuje različita svojstva i stanja vode.</w:t>
            </w:r>
          </w:p>
        </w:tc>
        <w:tc>
          <w:tcPr>
            <w:tcW w:w="2515" w:type="dxa"/>
          </w:tcPr>
          <w:p w14:paraId="5C094B8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unaprijed pripremljeni plan istražuje različita svojstva i stanja vode.</w:t>
            </w:r>
          </w:p>
          <w:p w14:paraId="6F4A565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BA2C46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Istražuje različita svojstva i stanja vode.</w:t>
            </w:r>
          </w:p>
          <w:p w14:paraId="11DE77C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1EA708F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 različita svojstva i stanja vode i zaključuje o njima na temelju istraženoga.</w:t>
            </w:r>
          </w:p>
        </w:tc>
      </w:tr>
      <w:tr w14:paraId="6ACF8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25E2CCA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razlikuje vremenske pojave (npr. snijeg, tuča, magla, mraz, inje, vjetar...).</w:t>
            </w:r>
          </w:p>
          <w:p w14:paraId="6379D1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536DDC1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i razlikuje vremenske pojave (npr. snijeg, tuča, magla, mraz, inje, vjetar...)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38A092E7">
            <w:pPr>
              <w:spacing w:after="0" w:line="240" w:lineRule="auto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Uočava vremenske pojave (npr. snijeg, tuča, magla, mraz, inje, vjetar...).</w:t>
            </w:r>
          </w:p>
        </w:tc>
        <w:tc>
          <w:tcPr>
            <w:tcW w:w="2515" w:type="dxa"/>
          </w:tcPr>
          <w:p w14:paraId="19535A9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Uočava i razlikuje neke vremenske pojave (npr. snijeg, tuča, magla, mraz, inje, vjetar...).</w:t>
            </w:r>
          </w:p>
          <w:p w14:paraId="0330852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2DC7127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Uočava i razlikuje vremenske pojave (npr. snijeg, tuča, magla, mraz, inje, vjetar...).</w:t>
            </w:r>
          </w:p>
          <w:p w14:paraId="77701B5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491C67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Uočava, razlikuje i uspoređuje vremenske pojave (npr. snijeg, tuča, magla, mraz, inje, vjetar...).</w:t>
            </w:r>
          </w:p>
          <w:p w14:paraId="22D5454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0673B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3A79B93E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Zaključuje da se tijelo sastoji od dijelova – organa i da dijelovi čine cjelinu, organizam o kojemu se treba brinuti.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6AC4404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zaključuje da se tijelo sastoji od dijelova – organa i da dijelovi čine cjelinu, organizam o kojemu se treba brinuti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5E221C9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da se tijelo sastoji od dijelova – organa, ali ih samostalno ne nabraja i teže shvaća da dijelovi čine cjelinu, organizam o kojemu se treba brinuti.</w:t>
            </w:r>
          </w:p>
        </w:tc>
        <w:tc>
          <w:tcPr>
            <w:tcW w:w="2515" w:type="dxa"/>
          </w:tcPr>
          <w:p w14:paraId="4F36CE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da se tijelo sastoji od dijelova – organa i da dijelovi čine cjelinu, organizam o kojemu se treba brinuti.</w:t>
            </w:r>
          </w:p>
        </w:tc>
        <w:tc>
          <w:tcPr>
            <w:tcW w:w="2514" w:type="dxa"/>
          </w:tcPr>
          <w:p w14:paraId="04A08E5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Zaključuje da se tijelo sastoji od dijelova – organa i da dijelovi čine cjelinu, organizam o kojemu se treba brinuti.</w:t>
            </w:r>
          </w:p>
        </w:tc>
        <w:tc>
          <w:tcPr>
            <w:tcW w:w="2654" w:type="dxa"/>
          </w:tcPr>
          <w:p w14:paraId="1E8243E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Zaključuje da se tijelo sastoji od dijelova – organa i da dijelovi čine cjelinu, organizam o kojemu se treba brinuti. Navodi načine brige o organizmu.</w:t>
            </w:r>
          </w:p>
        </w:tc>
      </w:tr>
      <w:tr w14:paraId="5F736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tcBorders>
              <w:right w:val="single" w:color="auto" w:sz="4" w:space="0"/>
            </w:tcBorders>
            <w:shd w:val="clear" w:color="auto" w:fill="DEEAF6" w:themeFill="accent1" w:themeFillTint="33"/>
          </w:tcPr>
          <w:p w14:paraId="2F54B36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A.3.2. Učenik prikazuje vremenski slijed događaja i procjenjuje njihovu važnost.</w:t>
            </w:r>
          </w:p>
        </w:tc>
      </w:tr>
      <w:tr w14:paraId="79695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68A6857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575A4978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3DC15F6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3E74DD76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2460CDD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30C46527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6CC9D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1CC07DE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Prikazuje vremenski slijed događaja na vremenskoj crti ili lenti vremena (desetljeće u životu učenika i njegove obitelji, stoljeće i tisućljeće na primjeru kulturno-povijesnih spomenika koje učenici mogu neposredno promatrati, važniji događaji i sl.) i procjenjuje njihovu važnost.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1FAABF3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„p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rikazuje vremenski slijed događaja na vremenskoj crti ili lenti vremena i procjenjuje njihovu važnost“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4757E1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Isključivo prema primjeru prikazuje vremenski slijed događaja na vremenskoj crti ili lenti vremena (desetljeće u životu učenika i njegove obitelji, stoljeće i tisućljeće na primjeru kulturno-povijesnih spomenika.</w:t>
            </w:r>
          </w:p>
        </w:tc>
        <w:tc>
          <w:tcPr>
            <w:tcW w:w="2515" w:type="dxa"/>
          </w:tcPr>
          <w:p w14:paraId="5A72F02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Prema primjeru prikazuje vremenski slijed događaja na vremenskoj crti ili lenti vremena (desetljeće u životu učenika i njegove obitelji, stoljeće i tisućljeće na primjeru kulturno-povijesnih spomenika koje učenici mogu neposredno promatrati, važniji događaji i sl.) .</w:t>
            </w:r>
          </w:p>
        </w:tc>
        <w:tc>
          <w:tcPr>
            <w:tcW w:w="2514" w:type="dxa"/>
          </w:tcPr>
          <w:p w14:paraId="21F967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kraće upute i pojašnjenja prikazuje vremenski slijed događaja na vremenskoj crti ili lenti vremena (desetljeće u životu učenika i njegove obitelji, stoljeće i tisućljeće na primjeru kulturno-povijesnih spomenika koje učenici mogu neposredno promatrati, važniji događaji i sl.) i procjenjuje njihovu važnost.</w:t>
            </w:r>
          </w:p>
          <w:p w14:paraId="106E743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674D4A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4B0DD5A4">
            <w:pPr>
              <w:spacing w:after="0" w:line="240" w:lineRule="auto"/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Prikazuje vremenski slijed događaja na vremenskoj crti ili lenti vremena (desetljeće u životu učenika i njegove obitelji, stoljeće i tisućljeće na primjeru kulturno-povijesnih spomenika koje učenici mogu neposredno promatrati, važniji događaji i sl.) i procjenjuje njihovu važnost.</w:t>
            </w:r>
          </w:p>
        </w:tc>
      </w:tr>
      <w:tr w14:paraId="117E6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tcBorders>
              <w:right w:val="single" w:color="auto" w:sz="4" w:space="0"/>
            </w:tcBorders>
            <w:shd w:val="clear" w:color="auto" w:fill="DEEAF6" w:themeFill="accent1" w:themeFillTint="33"/>
          </w:tcPr>
          <w:p w14:paraId="3777FF00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A.3.3. Učenik zaključuje o organiziranosti lokalne zajednice, uspoređuje prikaze različitih prostora.</w:t>
            </w:r>
          </w:p>
        </w:tc>
      </w:tr>
      <w:tr w14:paraId="222C8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3A1E119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2E955E3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334B483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A1DDAE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16633B2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77E18808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30C6E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2A4FA55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organiziranost lokalne zajednice u svome zavičaju (gradonačelnik, načelnik i sl.).</w:t>
            </w:r>
          </w:p>
          <w:p w14:paraId="21A6B12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12E8175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organiziranost lokalne zajednice u svome zavičaju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6CD33D97">
            <w:pPr>
              <w:spacing w:after="0" w:line="240" w:lineRule="auto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Prepoznaje organiziranost lokalne zajednice u svome zavičaju (gradonačelnik, načelnik i sl.) uz konkretne primjere.</w:t>
            </w:r>
          </w:p>
        </w:tc>
        <w:tc>
          <w:tcPr>
            <w:tcW w:w="2515" w:type="dxa"/>
          </w:tcPr>
          <w:p w14:paraId="0A4751A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navođenje nabraja organiziranost lokalne zajednice u svome zavičaju (gradonačelnik, načelnik i sl.).</w:t>
            </w:r>
          </w:p>
          <w:p w14:paraId="7EEEA86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D156B9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Nabraja organiziranost lokalne zajednice u svome zavičaju (gradonačelnik, načelnik i sl.).</w:t>
            </w:r>
          </w:p>
          <w:p w14:paraId="24BFCD5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69CD1821">
            <w:pPr>
              <w:spacing w:after="0" w:line="240" w:lineRule="auto"/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Nabraja i opisuje organiziranost lokalne zajednice u svome zavičaju (gradonačelnik, načelnik i sl.).</w:t>
            </w:r>
          </w:p>
          <w:p w14:paraId="6D354C8F">
            <w:pPr>
              <w:spacing w:after="0" w:line="240" w:lineRule="auto"/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59D0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5FBCC3E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strane svijeta.</w:t>
            </w:r>
          </w:p>
          <w:p w14:paraId="2386347B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6E981E5C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strane svijeta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C23A47E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Imenuje glavne i sporedne strane svijeta (sporedne uz navođenje).</w:t>
            </w:r>
          </w:p>
          <w:p w14:paraId="5CD19ACB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7E6A754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Imenuje glavne i sporedne strane svijeta.</w:t>
            </w:r>
          </w:p>
          <w:p w14:paraId="702C42D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D0C73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glavne i sporedne  strane svijeta te ih uz manje navođenje određuje u neposrednoj stvarnosti.</w:t>
            </w:r>
          </w:p>
        </w:tc>
        <w:tc>
          <w:tcPr>
            <w:tcW w:w="2654" w:type="dxa"/>
          </w:tcPr>
          <w:p w14:paraId="3796C6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glavne i sporedne strane svijeta i kratice istih bez greške te ih u neposrednoj stvarnosti određuje.</w:t>
            </w:r>
          </w:p>
          <w:p w14:paraId="11C1FB4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2701A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2ECC1B6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 organizacije i označavanja prostora u izradi ili korištenju plana mjesta, čitanju geografske karte (tumač znakova, prikaz simbolima na planu mjesta i geografskoj karti, piktogrami i sl.).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17B13D45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pravila organizacije i označavanja prostora u izradi ili korištenju plana mjesta, čitanju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588308D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Teže prepoznaje pravila organizacije i označavanja prostora u izradi ili korištenju plana mjesta, čitanju geografske karte (tumač znakova, prikaz simbolima na planu mjesta i geografskoj karti). Ista primjenjuje metodom pokušaja i pogrešaka.</w:t>
            </w:r>
          </w:p>
        </w:tc>
        <w:tc>
          <w:tcPr>
            <w:tcW w:w="2515" w:type="dxa"/>
          </w:tcPr>
          <w:p w14:paraId="54BB325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pravila organizacije i označavanja prostora u izradi ili korištenju plana mjesta, čitanju geografske karte (tumač znakova, prikaz simbolima na planu mjesta i geografskoj karti), ali ih primjenjuje uz pomoć.</w:t>
            </w:r>
          </w:p>
        </w:tc>
        <w:tc>
          <w:tcPr>
            <w:tcW w:w="2514" w:type="dxa"/>
          </w:tcPr>
          <w:p w14:paraId="2C8718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 organizacije i označavanja prostora u izradi ili korištenju plana mjesta, čitanju geografske karte (tumač znakova, prikaz simbolima na planu mjesta i geografskoj karti, piktogrami i sl.).</w:t>
            </w:r>
          </w:p>
        </w:tc>
        <w:tc>
          <w:tcPr>
            <w:tcW w:w="2654" w:type="dxa"/>
          </w:tcPr>
          <w:p w14:paraId="55BF4D3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 organizacije i označavanja prostora u izradi ili korištenju plana mjesta, čitanju geografske karte (tumač znakova, prikaz simbolima na planu mjesta i geografskoj karti, piktogrami i sl.) i uspoređuje s neposrednom okolinom (plan mjesta škole i dijela grada u kojem se škola nalazi i učenik živi).</w:t>
            </w:r>
          </w:p>
        </w:tc>
      </w:tr>
      <w:tr w14:paraId="26C6A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2651" w:type="dxa"/>
            <w:tcBorders>
              <w:right w:val="double" w:color="auto" w:sz="12" w:space="0"/>
            </w:tcBorders>
          </w:tcPr>
          <w:p w14:paraId="725B67E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izgled zavičaja te ga uspoređuje s umanjenim prikazom.</w:t>
            </w:r>
          </w:p>
          <w:p w14:paraId="05CD4C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241147E3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izgled zavičaja te ga uspoređuje s umanjenim prikazom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3516AFD2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Šturo i nedovoljno  opisuje izgled zavičaja, teško ga uspoređuje s umanjenim prikazom.</w:t>
            </w:r>
          </w:p>
          <w:p w14:paraId="45FF8EEE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781B14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izgled zavičaja te ga uspoređuje s umanjenim prikazom uz pomoć i pojašnjenja ili slijedi primjere suučenika.</w:t>
            </w:r>
          </w:p>
        </w:tc>
        <w:tc>
          <w:tcPr>
            <w:tcW w:w="2514" w:type="dxa"/>
          </w:tcPr>
          <w:p w14:paraId="0E73A7F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izgled zavičaja te ga uspoređuje s umanjenim prikazom.</w:t>
            </w:r>
          </w:p>
          <w:p w14:paraId="41EF77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06005A1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i opisuje izgled zavičaja te ga uspoređuje s umanjenim prikazom.</w:t>
            </w:r>
          </w:p>
          <w:p w14:paraId="1ACC32D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597B5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2E0F650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prometnu povezanost zavičaja.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733B353D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prometnu povezanost zavičaja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4176588D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Slijedeći primjer kratko i neprecizno djelomično opisuje prometnu povezanost zavičaja.</w:t>
            </w:r>
          </w:p>
        </w:tc>
        <w:tc>
          <w:tcPr>
            <w:tcW w:w="2515" w:type="dxa"/>
          </w:tcPr>
          <w:p w14:paraId="742FE8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opisuje prometnu povezanost zavičaja.</w:t>
            </w:r>
          </w:p>
        </w:tc>
        <w:tc>
          <w:tcPr>
            <w:tcW w:w="2514" w:type="dxa"/>
          </w:tcPr>
          <w:p w14:paraId="6CFA109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prometnu povezanost zavičaja, imenuje značajne prometnice i važnost istih, nabraja vrste razvijenog prometa u zavičaju.</w:t>
            </w:r>
          </w:p>
        </w:tc>
        <w:tc>
          <w:tcPr>
            <w:tcW w:w="2654" w:type="dxa"/>
          </w:tcPr>
          <w:p w14:paraId="505B4BE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i objašnjava prometnu povezanost zavičaja primjenjujući dosad usvojene sadržaje o prometu, nabraja i opisuje vrste prometa u zavičaju i njihovu važnost u gospodarstvu zavičaja.</w:t>
            </w:r>
          </w:p>
        </w:tc>
      </w:tr>
      <w:tr w14:paraId="23D20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C5E0B3" w:themeFill="accent6" w:themeFillTint="66"/>
          </w:tcPr>
          <w:p w14:paraId="1AB16DE7">
            <w:pPr>
              <w:spacing w:after="0" w:line="240" w:lineRule="auto"/>
              <w:jc w:val="center"/>
              <w:rPr>
                <w:rFonts w:cstheme="minorHAnsi"/>
                <w:color w:val="FF0000"/>
                <w:sz w:val="28"/>
              </w:rPr>
            </w:pPr>
            <w:r>
              <w:rPr>
                <w:rFonts w:cstheme="minorHAnsi"/>
                <w:b/>
                <w:color w:val="FF0000"/>
                <w:sz w:val="28"/>
              </w:rPr>
              <w:t>B: PROMJENE  I  ODNOSI</w:t>
            </w:r>
          </w:p>
        </w:tc>
      </w:tr>
      <w:tr w14:paraId="4B779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tcBorders>
              <w:left w:val="single" w:color="auto" w:sz="4" w:space="0"/>
            </w:tcBorders>
            <w:shd w:val="clear" w:color="auto" w:fill="DEEAF6" w:themeFill="accent1" w:themeFillTint="33"/>
          </w:tcPr>
          <w:p w14:paraId="4A6CD01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B.3.1. Učenik raspravlja o važnosti odgovornoga odnosa prema sebi, drugima i prirodi.</w:t>
            </w:r>
          </w:p>
        </w:tc>
      </w:tr>
      <w:tr w14:paraId="269DC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45E17397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751C536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5AB77CD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4C3C29F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3B2343AC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52E7EDE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0A5C4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single" w:color="auto" w:sz="4" w:space="0"/>
              <w:right w:val="double" w:color="auto" w:sz="12" w:space="0"/>
            </w:tcBorders>
          </w:tcPr>
          <w:p w14:paraId="37D1F44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sebi, drugima, svome zdravlju i zdravlju drugih osoba.</w:t>
            </w:r>
          </w:p>
          <w:p w14:paraId="43A5035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color="auto" w:sz="4" w:space="0"/>
              <w:left w:val="double" w:color="auto" w:sz="12" w:space="0"/>
            </w:tcBorders>
          </w:tcPr>
          <w:p w14:paraId="2C7E3CC2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odgovorno se ponaša prema sebi, drugima, svome zdravlju i zdravlju drugih osoba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color="auto" w:sz="4" w:space="0"/>
            </w:tcBorders>
          </w:tcPr>
          <w:p w14:paraId="01EDA6A3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Povremeno se brine o svome zdravlju, ali je potrebno stalno podsjećanje, kao i na održavanje higijenskih navika. Potrebno je sustavno razvijati odgovornost prema sebi i drugima, kao i svome zdravlju i zdravlju drugih osoba.</w:t>
            </w:r>
          </w:p>
        </w:tc>
        <w:tc>
          <w:tcPr>
            <w:tcW w:w="2515" w:type="dxa"/>
            <w:tcBorders>
              <w:top w:val="single" w:color="auto" w:sz="4" w:space="0"/>
            </w:tcBorders>
          </w:tcPr>
          <w:p w14:paraId="151E6B9F">
            <w:pPr>
              <w:spacing w:after="0" w:line="240" w:lineRule="auto"/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se ponaša odgovorno prema sebi i drugima, svome zdravlju, ali ne uvijek i zdravlju drugih osoba (ponekad je potrebno podsjećati na odgovorno ponašanje kako prema sebi, tako i prema drugima).</w:t>
            </w:r>
          </w:p>
        </w:tc>
        <w:tc>
          <w:tcPr>
            <w:tcW w:w="2514" w:type="dxa"/>
            <w:tcBorders>
              <w:top w:val="single" w:color="auto" w:sz="4" w:space="0"/>
            </w:tcBorders>
          </w:tcPr>
          <w:p w14:paraId="7C4F49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sebi, drugima, svome zdravlju i zdravlju drugih osoba i shvaća važnost brige o zdravlju.</w:t>
            </w:r>
          </w:p>
          <w:p w14:paraId="4B13734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color="auto" w:sz="4" w:space="0"/>
            </w:tcBorders>
          </w:tcPr>
          <w:p w14:paraId="08C66A1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Odgovorno se ponaša prema sebi, drugima, svome zdravlju i zdravlju drugih osoba te svojim ponašanjem služi za primjer.</w:t>
            </w:r>
          </w:p>
          <w:p w14:paraId="443A4455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14:paraId="5B503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single" w:color="auto" w:sz="4" w:space="0"/>
              <w:right w:val="double" w:color="auto" w:sz="12" w:space="0"/>
            </w:tcBorders>
          </w:tcPr>
          <w:p w14:paraId="326EA2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okružja za očuvanje tjelesnoga, ali i mentalnoga zdravlja (obitelj, prijatelji).</w:t>
            </w:r>
          </w:p>
          <w:p w14:paraId="0ED2E5D2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top w:val="single" w:color="auto" w:sz="4" w:space="0"/>
              <w:left w:val="double" w:color="auto" w:sz="12" w:space="0"/>
            </w:tcBorders>
          </w:tcPr>
          <w:p w14:paraId="3CED9DF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važnost okružja za očuvanje tjelesnoga, ali i mentalnoga zdravlja (obitelj, prijatelji)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color="auto" w:sz="4" w:space="0"/>
            </w:tcBorders>
          </w:tcPr>
          <w:p w14:paraId="3EDFC3C0">
            <w:pPr>
              <w:spacing w:after="0" w:line="240" w:lineRule="auto"/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t>Ponekad prepoznaje važnost okružja za očuvanje tjelesnoga, ali i mentalnoga zdravlja (obitelj, prijatelji).</w:t>
            </w:r>
          </w:p>
          <w:p w14:paraId="02D1F2A3">
            <w:pPr>
              <w:spacing w:after="0" w:line="240" w:lineRule="auto"/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</w:p>
        </w:tc>
        <w:tc>
          <w:tcPr>
            <w:tcW w:w="2515" w:type="dxa"/>
            <w:tcBorders>
              <w:top w:val="single" w:color="auto" w:sz="4" w:space="0"/>
            </w:tcBorders>
          </w:tcPr>
          <w:p w14:paraId="296571B8">
            <w:pPr>
              <w:spacing w:after="0" w:line="240" w:lineRule="auto"/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okružja za očuvanje tjelesnoga, ali i mentalnoga zdravlja (obitelj, prijatelji).</w:t>
            </w:r>
          </w:p>
          <w:p w14:paraId="4B560BE4">
            <w:pPr>
              <w:spacing w:after="0" w:line="240" w:lineRule="auto"/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color="auto" w:sz="4" w:space="0"/>
            </w:tcBorders>
          </w:tcPr>
          <w:p w14:paraId="33C878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nastoji očuvati važnost okružja za očuvanje tjelesnoga, ali i mentalnoga zdravlja (obitelj, prijatelji).</w:t>
            </w:r>
          </w:p>
          <w:p w14:paraId="3F12F7E8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color="auto" w:sz="4" w:space="0"/>
            </w:tcBorders>
          </w:tcPr>
          <w:p w14:paraId="55BD5419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</w:rPr>
              <w:t>Prepoznaje važnost okružja za očuvanje tjelesnoga, ali i mentalnoga zdravlja (obitelj, prijatelji), nastoji djelovati u svojoj neposrednoj okolini, daje primjere i savjete drugima o važnosti tjelesnog i mentalnoga zdravlja (ne provodi slobodno vrijeme isključivo za računalom, redovito održava higijenu, boravi na svježem zraku i sl.).</w:t>
            </w:r>
          </w:p>
        </w:tc>
      </w:tr>
      <w:tr w14:paraId="0DB5D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single" w:color="auto" w:sz="4" w:space="0"/>
              <w:right w:val="double" w:color="auto" w:sz="12" w:space="0"/>
            </w:tcBorders>
          </w:tcPr>
          <w:p w14:paraId="30CC7F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biljkama i životinjama u zavičaju i širem prostoru.</w:t>
            </w:r>
          </w:p>
          <w:p w14:paraId="401E2A0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color="auto" w:sz="4" w:space="0"/>
              <w:left w:val="double" w:color="auto" w:sz="12" w:space="0"/>
            </w:tcBorders>
          </w:tcPr>
          <w:p w14:paraId="603E803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odgovorno se ponaša prema biljkama i životinjama u zavičaju i širem prostoru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color="auto" w:sz="4" w:space="0"/>
            </w:tcBorders>
          </w:tcPr>
          <w:p w14:paraId="58CAAB7B">
            <w:pPr>
              <w:spacing w:after="0" w:line="240" w:lineRule="auto"/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t>Teže shvaća pojam odgovornosti i odgovornog ponašanja te je potrebno primjerima i konkretnim uputama (na primjer na putu od škole do kuće, boravak u Školi u prirodi) nabrojiti koja su ponašanja nepoželjna.</w:t>
            </w:r>
          </w:p>
        </w:tc>
        <w:tc>
          <w:tcPr>
            <w:tcW w:w="2515" w:type="dxa"/>
            <w:tcBorders>
              <w:top w:val="single" w:color="auto" w:sz="4" w:space="0"/>
            </w:tcBorders>
          </w:tcPr>
          <w:p w14:paraId="7221692B">
            <w:pPr>
              <w:spacing w:after="0" w:line="240" w:lineRule="auto"/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Relativno se odgovorno ponaša prema biljkama i životinjama u zavičaju i širem prostoru, ali se zna povoditi za skupinom u negativnim oblicima ponašanja.  </w:t>
            </w:r>
          </w:p>
        </w:tc>
        <w:tc>
          <w:tcPr>
            <w:tcW w:w="2514" w:type="dxa"/>
            <w:tcBorders>
              <w:top w:val="single" w:color="auto" w:sz="4" w:space="0"/>
            </w:tcBorders>
          </w:tcPr>
          <w:p w14:paraId="430CA5E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biljkama i životinjama u zavičaju i širem prostoru prema naučenim i usvojenim obrascima (kućica za ptice, proljetnice-ne bere).</w:t>
            </w:r>
          </w:p>
          <w:p w14:paraId="06CC8E83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color="auto" w:sz="4" w:space="0"/>
            </w:tcBorders>
          </w:tcPr>
          <w:p w14:paraId="574482F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Odgovorno se ponaša prema biljkama i životinjama u zavičaju i širem prostoru, ne gazi tratinu, ne bere biljke radi zabave, hrani ptičice zimi i slično.</w:t>
            </w:r>
          </w:p>
          <w:p w14:paraId="7083DCAD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14:paraId="288BB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2FC615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Procjenjuje utjecaj čovjeka na biljke i životinje u zavičaju.</w:t>
            </w:r>
          </w:p>
          <w:p w14:paraId="2EFEB28A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2E0D2C49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utjecaj čovjeka na biljke i životinje u zavičaju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4A68B7F9">
            <w:pPr>
              <w:spacing w:after="0" w:line="240" w:lineRule="auto"/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t>Prepoznaje utjecaj čovjeka na biljke i životinje u zavičaju isključivo prema primjerima.</w:t>
            </w:r>
          </w:p>
        </w:tc>
        <w:tc>
          <w:tcPr>
            <w:tcW w:w="2515" w:type="dxa"/>
          </w:tcPr>
          <w:p w14:paraId="66D26887">
            <w:pPr>
              <w:spacing w:after="0" w:line="240" w:lineRule="auto"/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Ukoliko se navede i potakne primjerom, Procjenjuje utjecaj čovjeka na biljke i životinje u zavičaju.</w:t>
            </w:r>
          </w:p>
          <w:p w14:paraId="2E66A1ED">
            <w:pPr>
              <w:spacing w:after="0" w:line="240" w:lineRule="auto"/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325ECC1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Procjenjuje utjecaj čovjeka na biljke i životinje u zavičaju uz manju dopunu od strane učitelja.</w:t>
            </w:r>
          </w:p>
        </w:tc>
        <w:tc>
          <w:tcPr>
            <w:tcW w:w="2654" w:type="dxa"/>
          </w:tcPr>
          <w:p w14:paraId="79C8D47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Procjenjuje utjecaj čovjeka na biljke i životinje u zavičaju i zaključuje o istome.</w:t>
            </w:r>
          </w:p>
        </w:tc>
      </w:tr>
      <w:tr w14:paraId="057C2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4B58C3F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djelovanje onečišćenja na zdravlje čovjeka.</w:t>
            </w:r>
          </w:p>
          <w:p w14:paraId="13DCFA3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56438F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djelovanje onečišćenja na zdravlje čovjeka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8E91B4D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u primjerima djelovanje onečišćenja na zdravlje čovjeka, ali ne opisuje ih samostalno.</w:t>
            </w:r>
          </w:p>
        </w:tc>
        <w:tc>
          <w:tcPr>
            <w:tcW w:w="2515" w:type="dxa"/>
          </w:tcPr>
          <w:p w14:paraId="21C94BB1">
            <w:pPr>
              <w:spacing w:after="0" w:line="240" w:lineRule="auto"/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dostupnim primjerima i uz navođenje opisuje djelovanje onečišćenja na zdravlje čovjeka.</w:t>
            </w:r>
          </w:p>
        </w:tc>
        <w:tc>
          <w:tcPr>
            <w:tcW w:w="2514" w:type="dxa"/>
          </w:tcPr>
          <w:p w14:paraId="296A9EE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djelovanje onečišćenja na zdravlje čovjeka.</w:t>
            </w:r>
          </w:p>
          <w:p w14:paraId="42697C6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63D535C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djelovanje onečišćenja na zdravlje čovjeka i predviđa posljedice.</w:t>
            </w:r>
          </w:p>
        </w:tc>
      </w:tr>
      <w:tr w14:paraId="09ADB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bottom w:val="single" w:color="auto" w:sz="4" w:space="0"/>
              <w:right w:val="double" w:color="auto" w:sz="12" w:space="0"/>
            </w:tcBorders>
          </w:tcPr>
          <w:p w14:paraId="06EC193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utjecaj tehnologije na zdravlje i okoliš.</w:t>
            </w:r>
          </w:p>
        </w:tc>
        <w:tc>
          <w:tcPr>
            <w:tcW w:w="2680" w:type="dxa"/>
            <w:tcBorders>
              <w:left w:val="double" w:color="auto" w:sz="12" w:space="0"/>
              <w:bottom w:val="single" w:color="auto" w:sz="4" w:space="0"/>
            </w:tcBorders>
          </w:tcPr>
          <w:p w14:paraId="7F2174B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utjecaj tehnologije na zdravlje i okoliš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2E4CEB1E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Isključivo prema opisima i točno navedenim primjerima prepoznaje utjecaj tehnologije na zdravlje i okoliš.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57E497B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utjecaj tehnologije na zdravlje i okoliš.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779E368D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utjecaj tehnologije na zdravlje i okoliš.</w:t>
            </w:r>
          </w:p>
        </w:tc>
        <w:tc>
          <w:tcPr>
            <w:tcW w:w="2654" w:type="dxa"/>
            <w:tcBorders>
              <w:bottom w:val="single" w:color="auto" w:sz="4" w:space="0"/>
            </w:tcBorders>
          </w:tcPr>
          <w:p w14:paraId="0B9FB9F5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utjecaj tehnologije na zdravlje i okoliš i daje primjere (previše sjedenja za računalom šteti kralježnici i vidu i slično).</w:t>
            </w:r>
          </w:p>
        </w:tc>
      </w:tr>
      <w:tr w14:paraId="629FA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tcBorders>
              <w:right w:val="single" w:color="auto" w:sz="4" w:space="0"/>
            </w:tcBorders>
            <w:shd w:val="clear" w:color="auto" w:fill="DEEAF6" w:themeFill="accent1" w:themeFillTint="33"/>
          </w:tcPr>
          <w:p w14:paraId="2F46465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PID OŠ B.3.2. Učenik zaključuje o promjenama i odnosima u prirodi </w:t>
            </w:r>
          </w:p>
          <w:p w14:paraId="2C7A15B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te međusobnoj ovisnosti živih bića i prostora na primjerima iz svoga okoliša.</w:t>
            </w:r>
          </w:p>
        </w:tc>
      </w:tr>
      <w:tr w14:paraId="67D20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2202D37C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6178046D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544EB54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A8CF29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3C4301C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71A87D0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3ED94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1D8FA1C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biljaka i životinja za život ljudi i daje vlastite primjere.</w:t>
            </w:r>
          </w:p>
          <w:p w14:paraId="7F61B77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67AC532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važnost biljaka i životinja za život ljudi i daje vlastite primjere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590001F2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važnost biljaka i životinja za život ljudi</w:t>
            </w:r>
          </w:p>
        </w:tc>
        <w:tc>
          <w:tcPr>
            <w:tcW w:w="2515" w:type="dxa"/>
          </w:tcPr>
          <w:p w14:paraId="6802B1E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biljaka i životinja za život ljudi i uz pomoć  daje vlastite primjere.</w:t>
            </w:r>
          </w:p>
          <w:p w14:paraId="705792E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4A6FEC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važnost biljaka i životinja za život ljudi i daje vlastite primjere.</w:t>
            </w:r>
          </w:p>
          <w:p w14:paraId="6AAAA62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42C1344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opisuje važnost biljaka i životinja za život ljudi i daje vlastite primjere koje dovodi uvezu.</w:t>
            </w:r>
          </w:p>
          <w:p w14:paraId="2FB49C3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51729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4A93C1C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međuovisnost biljnoga i životinjskoga svijeta i čovjeka.</w:t>
            </w:r>
          </w:p>
          <w:p w14:paraId="31121215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1A7986D5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međuovisnost biljnoga i životinjskoga svijeta i čovjeka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8FE6BCC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Prema zadanim primjerima prepoznaje međuovisnost biljnoga i životinjskoga svijeta i čovjeka.</w:t>
            </w:r>
          </w:p>
          <w:p w14:paraId="43364F7A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237A1DD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međuovisnost biljnoga i životinjskoga svijeta i čovjeka.</w:t>
            </w:r>
          </w:p>
          <w:p w14:paraId="1593DAB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1ED7ABC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međuovisnost biljnoga i životinjskoga svijeta i čovjeka.</w:t>
            </w:r>
          </w:p>
          <w:p w14:paraId="643A0DF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2237CAF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međuovisnost biljnoga i životinjskoga svijeta i čovjeka i daje primjere.</w:t>
            </w:r>
          </w:p>
        </w:tc>
      </w:tr>
      <w:tr w14:paraId="3DE61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34E7157A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povezanost staništa i uvjeta u okolišu s promjenama u biljnome i životinjskome svijetu u zavičaju.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62C0B4AD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međuovisnost biljnoga i životinjskoga svijeta i čovjeka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5E04D15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Isključivo uz navođenje i postavljanje jednoznačnih pitanja nabraja povezanost staništa i uvjeta u okolišu s promjenama u biljnome i životinjskome svijetu u zavičaju.</w:t>
            </w:r>
          </w:p>
        </w:tc>
        <w:tc>
          <w:tcPr>
            <w:tcW w:w="2515" w:type="dxa"/>
          </w:tcPr>
          <w:p w14:paraId="58F9D83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Nabraja povezanost staništa i uvjeta u okolišu s promjenama u biljnome i životinjskome svijetu u zavičaju.</w:t>
            </w:r>
          </w:p>
        </w:tc>
        <w:tc>
          <w:tcPr>
            <w:tcW w:w="2514" w:type="dxa"/>
          </w:tcPr>
          <w:p w14:paraId="03E9DCE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Nabraja i opisuje povezanost staništa i uvjeta u okolišu s promjenama u biljnome i životinjskome svijetu u zavičaju.</w:t>
            </w:r>
          </w:p>
        </w:tc>
        <w:tc>
          <w:tcPr>
            <w:tcW w:w="2654" w:type="dxa"/>
          </w:tcPr>
          <w:p w14:paraId="3DCB5E1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Nabraja, opisuje i objašnjava povezanost staništa i uvjeta u okolišu s promjenama u biljnome i životinjskome svijetu u zavičaju.</w:t>
            </w:r>
          </w:p>
        </w:tc>
      </w:tr>
      <w:tr w14:paraId="75916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bottom w:val="single" w:color="auto" w:sz="4" w:space="0"/>
              <w:right w:val="double" w:color="auto" w:sz="12" w:space="0"/>
            </w:tcBorders>
          </w:tcPr>
          <w:p w14:paraId="4036B000">
            <w:pPr>
              <w:pStyle w:val="11"/>
              <w:spacing w:after="0" w:line="240" w:lineRule="auto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Zaključuje o uzrocima i posljedicama u procesima u prirodi npr. truljenja, sušenja, gorenja, otapanja, miješanja i sl.</w:t>
            </w:r>
          </w:p>
        </w:tc>
        <w:tc>
          <w:tcPr>
            <w:tcW w:w="2680" w:type="dxa"/>
            <w:tcBorders>
              <w:left w:val="double" w:color="auto" w:sz="12" w:space="0"/>
              <w:bottom w:val="single" w:color="auto" w:sz="4" w:space="0"/>
            </w:tcBorders>
          </w:tcPr>
          <w:p w14:paraId="0D0ABA5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zaključuje o uzrocima i posljedicama u procesima u prirodi npr. truljenja, sušenja, gorenja, otapanja, miješanja i sl.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6F9B098C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Metodom pokušaja i pogrešaka djelomično prepoznaje uzroke i posljedice u procesima u prirodi npr. truljenja, sušenja, gorenja, otapanja, miješanja i sl.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29CA225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uzroke i posljedice u procesima u prirodi npr. truljenja, sušenja, gorenja, otapanja, miješanja i sl.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4A934AF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kraćem navođenju od strane učitelja zaključuje o uzrocima i posljedicama u procesima u prirodi npr. truljenja, sušenja, gorenja, otapanja, miješanja i sl.</w:t>
            </w:r>
          </w:p>
        </w:tc>
        <w:tc>
          <w:tcPr>
            <w:tcW w:w="2654" w:type="dxa"/>
            <w:tcBorders>
              <w:bottom w:val="single" w:color="auto" w:sz="4" w:space="0"/>
            </w:tcBorders>
          </w:tcPr>
          <w:p w14:paraId="0FB0329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 o uzrocima i posljedicama u procesima u prirodi npr. truljenja, sušenja, gorenja, otapanja, miješanja i izvodi zaključke. </w:t>
            </w:r>
          </w:p>
        </w:tc>
      </w:tr>
      <w:tr w14:paraId="7D5A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tcBorders>
              <w:top w:val="single" w:color="auto" w:sz="12" w:space="0"/>
              <w:right w:val="single" w:color="auto" w:sz="4" w:space="0"/>
            </w:tcBorders>
            <w:shd w:val="clear" w:color="auto" w:fill="DEEAF6" w:themeFill="accent1" w:themeFillTint="33"/>
          </w:tcPr>
          <w:p w14:paraId="4F71B86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PID OŠ B.3.3. Učenik se snalazi u promjenama i odnosima tijekom vremenskih ciklusa </w:t>
            </w:r>
          </w:p>
          <w:p w14:paraId="58EFAA0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te analizira povezanost vremenskih ciklusa s događajima i važnim osobama u zavičaju.</w:t>
            </w:r>
          </w:p>
        </w:tc>
      </w:tr>
      <w:tr w14:paraId="1EFD9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2651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24A82E4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630479E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3DC5E637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C1DAE8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49BCABF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661DC43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5464F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02EE97BB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svoje prvo desetljeće i na vremenskoj crti ili lenti vremena prikazuje značajne događaje u svome životu. 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163FA1F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svoje prvo desetljeće i na vremenskoj crti ili lenti vremena prikazuje značajne događaje u svome životu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2359A6A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Postavljanjem jednoznačnih pitanja opisuje svoje prvo desetljeće i na vremenskoj crti ili lenti vremena prikazuje značajne događaje u svome životu uz pomoć.</w:t>
            </w:r>
          </w:p>
        </w:tc>
        <w:tc>
          <w:tcPr>
            <w:tcW w:w="2515" w:type="dxa"/>
          </w:tcPr>
          <w:p w14:paraId="7D718D8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Slijedeći primjer ili izlaganje suučenika opisuje svoje prvo desetljeće i na vremenskoj crti ili lenti vremena prikazuje značajne događaje u svome životu.</w:t>
            </w:r>
          </w:p>
        </w:tc>
        <w:tc>
          <w:tcPr>
            <w:tcW w:w="2514" w:type="dxa"/>
          </w:tcPr>
          <w:p w14:paraId="084F56A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većoj mjeri uspješno opisuje svoje prvo desetljeće i na vremenskoj crti ili lenti vremena prikazuje značajne događaje u svome životu.</w:t>
            </w:r>
          </w:p>
        </w:tc>
        <w:tc>
          <w:tcPr>
            <w:tcW w:w="2654" w:type="dxa"/>
          </w:tcPr>
          <w:p w14:paraId="66BBF9A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opisuje svoje prvo desetljeće i na vremenskoj crti ili lenti vremena prikazuje značajne događaje u svome životu.</w:t>
            </w:r>
          </w:p>
        </w:tc>
      </w:tr>
      <w:tr w14:paraId="4ABFF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3FB8F8BD">
            <w:pPr>
              <w:pStyle w:val="11"/>
              <w:spacing w:after="0" w:line="240" w:lineRule="auto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prošlost i sadašnjost i predviđa promjene i odnose u budućnosti.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362B40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prošlost i sadašnjost i predviđa promjene i odnose u budućnosti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34519B49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i uz pomoć uspoređuje prošlost i sadašnjost, ali ne predviđa promjene i odnose u budućnosti.</w:t>
            </w:r>
          </w:p>
        </w:tc>
        <w:tc>
          <w:tcPr>
            <w:tcW w:w="2515" w:type="dxa"/>
          </w:tcPr>
          <w:p w14:paraId="39BF1563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uspoređuje prošlost i sadašnjost, uz pomoć predviđa promjene i odnose u budućnosti</w:t>
            </w:r>
          </w:p>
        </w:tc>
        <w:tc>
          <w:tcPr>
            <w:tcW w:w="2514" w:type="dxa"/>
          </w:tcPr>
          <w:p w14:paraId="72A456F2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Čineći manje greške uspoređuje prošlost i sadašnjost i predviđa promjene i odnose u budućnosti.</w:t>
            </w:r>
          </w:p>
        </w:tc>
        <w:tc>
          <w:tcPr>
            <w:tcW w:w="2654" w:type="dxa"/>
          </w:tcPr>
          <w:p w14:paraId="25A875E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prošlost i sadašnjost i predviđa promjene i odnose u budućnosti.</w:t>
            </w:r>
          </w:p>
        </w:tc>
      </w:tr>
      <w:tr w14:paraId="7FF1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6CB14AD5">
            <w:pPr>
              <w:pStyle w:val="11"/>
              <w:spacing w:after="0" w:line="240" w:lineRule="auto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Raspravlja o utjecaju događaja, osoba i promjena na sadašnji i budući život čovjeka.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6890C29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utjecaju događaja, osoba i promjena na sadašnji i budući život čovjeka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48511D1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Sluša raspravu o utjecaju događaja, osoba i promjena na sadašnji i budući život čovjeka, ali ne sudjeluje niti raspravlja o istome.</w:t>
            </w:r>
          </w:p>
        </w:tc>
        <w:tc>
          <w:tcPr>
            <w:tcW w:w="2515" w:type="dxa"/>
          </w:tcPr>
          <w:p w14:paraId="500929E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Sudjeluje u raspravi slušanjem o o utjecaju događaja, osoba i promjena na sadašnji i budući život čovjeka, ali ne iznosi svoja stajališta ili zaključke.</w:t>
            </w:r>
          </w:p>
        </w:tc>
        <w:tc>
          <w:tcPr>
            <w:tcW w:w="2514" w:type="dxa"/>
          </w:tcPr>
          <w:p w14:paraId="0A9A99B5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raspravlja o utjecaju događaja, osoba i promjena na sadašnji i budući život čovjeka.</w:t>
            </w:r>
          </w:p>
        </w:tc>
        <w:tc>
          <w:tcPr>
            <w:tcW w:w="2654" w:type="dxa"/>
          </w:tcPr>
          <w:p w14:paraId="68076D1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Raspravlja o utjecaju događaja, osoba i promjena na sadašnji i budući život čovjeka. Samostalno izvodi zaključke o utjecaju pojedinaca na život čovjeka u sadašnjosti i budućnosti.</w:t>
            </w:r>
          </w:p>
        </w:tc>
      </w:tr>
      <w:tr w14:paraId="52226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38172D1D">
            <w:pPr>
              <w:pStyle w:val="11"/>
              <w:spacing w:after="0" w:line="240" w:lineRule="auto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Prikazuje događaje, osobe i promjene u zavičaju tijekom prošlosti i sadašnjosti te ih predviđa u budućnosti služeći se kalendarom, vremenskom crtom, crtežom i sl., uz korištenje digitalnih interaktivnih usluga (geografske karte, vremenska prognoza…), IKT-a, ovisno o uvjetima.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49F6E431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prikazuje događaje, osobe i promjene u zavičaju tijekom prošlosti i sadašnjosti te ih predviđa u budućnosti služeći se kalendarom, vremenskom crtom, crtežom i sl., uz korištenje digitalnih interaktivnih usluga ikt-a, ovisno o uvjetima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  <w:p w14:paraId="662D736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3F615C4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6C2A911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380C352F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Prepoznaje na gotovom prikazu (lenti ili vremenskoj crti, crtežu i slično) događaje, osobe i promjene u zavičaju tijekom prošlosti i sadašnjosti, ali ih salbo predviđa u budućnosti.</w:t>
            </w:r>
          </w:p>
        </w:tc>
        <w:tc>
          <w:tcPr>
            <w:tcW w:w="2515" w:type="dxa"/>
          </w:tcPr>
          <w:p w14:paraId="4761173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predložak prikazuje događaje, osobe i promjene u zavičaju tijekom prošlosti i sadašnjosti služeći se kalendarom, vremenskom crtom, crtežom i sl. Teže ih samostalno predviđa u budućnosti.</w:t>
            </w:r>
          </w:p>
        </w:tc>
        <w:tc>
          <w:tcPr>
            <w:tcW w:w="2514" w:type="dxa"/>
          </w:tcPr>
          <w:p w14:paraId="72C4ED0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Prikazuje događaje, osobe i promjene u zavičaju tijekom prošlosti i sadašnjosti te ih predviđa uz manji poticaj u budućnosti služeći se kalendarom, vremenskom crtom, crtežom i sl.</w:t>
            </w:r>
          </w:p>
        </w:tc>
        <w:tc>
          <w:tcPr>
            <w:tcW w:w="2654" w:type="dxa"/>
          </w:tcPr>
          <w:p w14:paraId="07C6010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Prikazuje događaje, osobe i promjene u zavičaju tijekom prošlosti i sadašnjosti te ih predviđa u budućnosti služeći se kalendarom, vremenskom crtom, crtežom i sl., uz korištenje digitalnih interaktivnih usluga (geografske karte, vremenska prognoza…), IKT-a, ovisno o uvjetima.</w:t>
            </w:r>
          </w:p>
        </w:tc>
      </w:tr>
      <w:tr w14:paraId="4448E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tcBorders>
              <w:top w:val="single" w:color="auto" w:sz="12" w:space="0"/>
              <w:right w:val="single" w:color="auto" w:sz="4" w:space="0"/>
            </w:tcBorders>
            <w:shd w:val="clear" w:color="auto" w:fill="DEEAF6" w:themeFill="accent1" w:themeFillTint="33"/>
          </w:tcPr>
          <w:p w14:paraId="3554FF1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PID OŠ B.3.4. Učenik se snalazi u prostoru, tumači plan mjesta i kartu zavičaja, izrađuje plan neposrednoga </w:t>
            </w:r>
          </w:p>
          <w:p w14:paraId="70D55C7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okružja i zaključuje o povezanosti prostornih obilježja zavičaja i načina života ljudi.</w:t>
            </w:r>
          </w:p>
        </w:tc>
      </w:tr>
      <w:tr w14:paraId="5D1E7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2651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3AC7393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07EA060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37F65D1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015D07D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690221C3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11D6163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6F941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5FA0E62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Snalazi se u zavičajnome prostoru prema glavnim i sporednim stranama svijeta.</w:t>
            </w:r>
          </w:p>
          <w:p w14:paraId="186DF6EF">
            <w:pPr>
              <w:pStyle w:val="11"/>
              <w:spacing w:after="0" w:line="240" w:lineRule="auto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182F0070">
            <w:pPr>
              <w:spacing w:after="0" w:line="240" w:lineRule="auto"/>
              <w:rPr>
                <w:rFonts w:cstheme="minorHAnsi"/>
                <w:i/>
                <w:sz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</w:p>
          <w:p w14:paraId="4DA6E2E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snalazi se u zavičajnome prostoru prema glavnim i sporednim stranama svijeta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65B749D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se snalazi u zavičajnome prostoru prema glavnim i sporednim stranama svijeta nakon opetovanog ponavljanja.</w:t>
            </w:r>
          </w:p>
        </w:tc>
        <w:tc>
          <w:tcPr>
            <w:tcW w:w="2515" w:type="dxa"/>
          </w:tcPr>
          <w:p w14:paraId="33E95ED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se snalazi u zavičajnome prostoru prema glavnim i sporednim stranama svijeta uz poticaj i kraće navođenje.</w:t>
            </w:r>
          </w:p>
          <w:p w14:paraId="4D956375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1AE8472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Snalazi se u zavičajnome prostoru prema glavnim i sporednim stranama svijeta.</w:t>
            </w:r>
          </w:p>
          <w:p w14:paraId="771550B9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5BFE965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Snalazi se s lakoćom u zavičajnome prostoru prema glavnim i sporednim stranama svijeta.</w:t>
            </w:r>
          </w:p>
          <w:p w14:paraId="07C6C58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3FFC8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75B1868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Čita i tumači plan mjesta prema tumaču znakova (legendi).</w:t>
            </w:r>
          </w:p>
          <w:p w14:paraId="52870B58">
            <w:pPr>
              <w:pStyle w:val="11"/>
              <w:spacing w:after="0" w:line="240" w:lineRule="auto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21CB16F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čita i tumači plan mjesta prema tumaču znakova (legendi)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50DA1BB0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Metodom pokušaja i pogrešaka djelomično čita i tumači plan mjesta prema tumaču znakova (legendi).</w:t>
            </w:r>
          </w:p>
          <w:p w14:paraId="073D066F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5A64FC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čita i tumači plan mjesta prema tumaču znakova (legendi).</w:t>
            </w:r>
          </w:p>
          <w:p w14:paraId="4B2C77BC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03FA55F8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Čita i tumači plan mjesta prema tumaču znakova (legendi) uz poneke greške.</w:t>
            </w:r>
          </w:p>
        </w:tc>
        <w:tc>
          <w:tcPr>
            <w:tcW w:w="2654" w:type="dxa"/>
          </w:tcPr>
          <w:p w14:paraId="3100860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Čita i tumači plan mjesta prema tumaču znakova (legendi).</w:t>
            </w:r>
          </w:p>
          <w:p w14:paraId="35C0C9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7F4C6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616589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Kreće se od točke A do točke B koristeći se planom.</w:t>
            </w:r>
          </w:p>
          <w:p w14:paraId="78CB6BE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2EF8716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kreće se od točke a do točke b koristeći se planom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C237E4E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Povremeno i dosta slabo se kreće  od točke A do točke B koristeći se planom. Upute trebaju biti jasne i jednoznačne.</w:t>
            </w:r>
          </w:p>
          <w:p w14:paraId="0C22BA69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2B5600A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Kreće se od točke A do točke B koristeći se planom uz jasno određene upute. </w:t>
            </w:r>
          </w:p>
        </w:tc>
        <w:tc>
          <w:tcPr>
            <w:tcW w:w="2514" w:type="dxa"/>
          </w:tcPr>
          <w:p w14:paraId="1D63A41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Kreće se od točke A do točke B koristeći se planom povremeno tražeći pomoć.</w:t>
            </w:r>
          </w:p>
        </w:tc>
        <w:tc>
          <w:tcPr>
            <w:tcW w:w="2654" w:type="dxa"/>
          </w:tcPr>
          <w:p w14:paraId="6436CA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se i bez greške snalazi na planu i kreće od točke A do točke B koristeći  se planom.</w:t>
            </w:r>
          </w:p>
          <w:p w14:paraId="129BD523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64BF5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084271A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Izrađuje/prikazuje plan neposrednoga okružja različitim načinima.</w:t>
            </w:r>
          </w:p>
          <w:p w14:paraId="0F384D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7DFE1B2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izrađuje/prikazuje plan neposrednoga okružja različitim načinima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8643329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Prepoznaje, ali samostalno ne prikazuje plan neposrednoga okružja ni na jednostavan način.</w:t>
            </w:r>
          </w:p>
        </w:tc>
        <w:tc>
          <w:tcPr>
            <w:tcW w:w="2515" w:type="dxa"/>
          </w:tcPr>
          <w:p w14:paraId="570B61C4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Prikazuje plan neposrednoga okružja na jednostavan način (na primjer tlocrtom).</w:t>
            </w:r>
          </w:p>
        </w:tc>
        <w:tc>
          <w:tcPr>
            <w:tcW w:w="2514" w:type="dxa"/>
          </w:tcPr>
          <w:p w14:paraId="6AB28D0B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Prikazuje plan neposrednoga okružja različitim načinima (tlocrt i crtež).</w:t>
            </w:r>
          </w:p>
        </w:tc>
        <w:tc>
          <w:tcPr>
            <w:tcW w:w="2654" w:type="dxa"/>
          </w:tcPr>
          <w:p w14:paraId="035C48B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Izrađuje i prikazuje plan neposrednoga okružja različitim načinima (tlocrtom, digitalnim snimkom, crtežom i slično).</w:t>
            </w:r>
          </w:p>
          <w:p w14:paraId="5ED9CDF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261B5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370DCD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utjecaj promjene stajališta i vremenskih uvjeta na obzor.</w:t>
            </w:r>
          </w:p>
          <w:p w14:paraId="42BF7040">
            <w:pPr>
              <w:pStyle w:val="11"/>
              <w:spacing w:after="0" w:line="240" w:lineRule="auto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4542252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utjecaj promjene stajališta i vremenskih uvjeta na obzor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5977A0C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Uz pomoć i pitanja koja navode na odgovor prepoznaje utjecaj promjene stajališta i vremenskih uvjeta na obzor.</w:t>
            </w:r>
          </w:p>
        </w:tc>
        <w:tc>
          <w:tcPr>
            <w:tcW w:w="2515" w:type="dxa"/>
          </w:tcPr>
          <w:p w14:paraId="18695CE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utjecaj promjene stajališta i vremenskih uvjeta na obzor.</w:t>
            </w:r>
          </w:p>
          <w:p w14:paraId="6F31D90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1D1E4F2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utjecaj promjene stajališta i vremenskih uvjeta na obzor.</w:t>
            </w:r>
          </w:p>
          <w:p w14:paraId="665FC3F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2ECE81D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objašnjava utjecaj promjene stajališta i vremenskih uvjeta na obzor.</w:t>
            </w:r>
          </w:p>
          <w:p w14:paraId="02EF018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04B10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39875BE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Čita geografsku kartu.</w:t>
            </w:r>
          </w:p>
          <w:p w14:paraId="020B4F9F">
            <w:pPr>
              <w:pStyle w:val="11"/>
              <w:spacing w:after="0" w:line="240" w:lineRule="auto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06FA2E8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čita geografsku kartu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46D89C02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Slabo ili gotovo nikako čita geografsku kartu. Tek uz brojna ponavljanja označava i pokazuje ključne pojmove na karti.</w:t>
            </w:r>
          </w:p>
        </w:tc>
        <w:tc>
          <w:tcPr>
            <w:tcW w:w="2515" w:type="dxa"/>
          </w:tcPr>
          <w:p w14:paraId="7EE5DFD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čita geografsku kartu.</w:t>
            </w:r>
          </w:p>
        </w:tc>
        <w:tc>
          <w:tcPr>
            <w:tcW w:w="2514" w:type="dxa"/>
          </w:tcPr>
          <w:p w14:paraId="53C8437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Čita geografsku kartu.</w:t>
            </w:r>
          </w:p>
        </w:tc>
        <w:tc>
          <w:tcPr>
            <w:tcW w:w="2654" w:type="dxa"/>
          </w:tcPr>
          <w:p w14:paraId="44D0434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Čita i snalazi se na  geografskoj karti.</w:t>
            </w:r>
          </w:p>
        </w:tc>
      </w:tr>
      <w:tr w14:paraId="27D56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5C03167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prostorna (reljefna) obilježja zavičaja koja uvjetuju način života ljudi.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7D8261C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prostorna (reljefna) obilježja zavičaja koja uvjetuju način života ljudi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DEEA548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Tek uz višebrojna ponavljanja prepoznaje prostorna (reljefna) obilježja zavičaja koja uvjetuju način života ljudi, ali ih i pokazuje ponavljajući za modelom.</w:t>
            </w:r>
          </w:p>
        </w:tc>
        <w:tc>
          <w:tcPr>
            <w:tcW w:w="2515" w:type="dxa"/>
          </w:tcPr>
          <w:p w14:paraId="17476A7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prostorna (reljefna) obilježja zavičaja koja uvjetuju način života ljudi.</w:t>
            </w:r>
          </w:p>
        </w:tc>
        <w:tc>
          <w:tcPr>
            <w:tcW w:w="2514" w:type="dxa"/>
          </w:tcPr>
          <w:p w14:paraId="29CB15C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nabraja prostorna (reljefna) obilježja zavičaja koja uvjetuju način života ljudi, pokazuje ih uz manje greške.</w:t>
            </w:r>
          </w:p>
        </w:tc>
        <w:tc>
          <w:tcPr>
            <w:tcW w:w="2654" w:type="dxa"/>
          </w:tcPr>
          <w:p w14:paraId="6F0EDA3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nabraja i pokazuje prostorna (reljefna) obilježja zavičaja koja uvjetuju način života ljudi.</w:t>
            </w:r>
          </w:p>
        </w:tc>
      </w:tr>
      <w:tr w14:paraId="54C7D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shd w:val="clear" w:color="auto" w:fill="C5E0B3" w:themeFill="accent6" w:themeFillTint="66"/>
          </w:tcPr>
          <w:p w14:paraId="15B82749">
            <w:pPr>
              <w:spacing w:after="0" w:line="240" w:lineRule="auto"/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C: POJEDINAC  I  DRUŠTVO</w:t>
            </w:r>
          </w:p>
        </w:tc>
      </w:tr>
      <w:tr w14:paraId="76F84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tcBorders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2571A9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C.3.1. Učenik raspravlja o ulozi, utjecaju i važnosti zavičajnoga okružja u razvoju</w:t>
            </w:r>
          </w:p>
          <w:p w14:paraId="12202A0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identiteta te utjecaju pojedinca na očuvanje baštine.</w:t>
            </w:r>
          </w:p>
        </w:tc>
      </w:tr>
      <w:tr w14:paraId="5646C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2651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2DC5AE6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13C0FAE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6D65C34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7400B14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599E3687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259EC05F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2DAB8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bottom w:val="single" w:color="auto" w:sz="4" w:space="0"/>
              <w:right w:val="double" w:color="auto" w:sz="12" w:space="0"/>
            </w:tcBorders>
          </w:tcPr>
          <w:p w14:paraId="1B8F068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Raspravlja o svojoj ulozi i povezanosti sa zavičajem prema događajima, interesima i vrijednostima.</w:t>
            </w:r>
          </w:p>
          <w:p w14:paraId="73A04E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  <w:bottom w:val="single" w:color="auto" w:sz="4" w:space="0"/>
            </w:tcBorders>
          </w:tcPr>
          <w:p w14:paraId="67F5AE8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svojoj ulozi i povezanosti sa zavičajem prema događajima, interesima i vrijednostima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3F1D11F7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i sasvim slabo sudjeluje u raspravi o svojoj ulozi i povezanosti sa zavičajem prema događajima, interesima i vrijednostima.</w:t>
            </w:r>
          </w:p>
          <w:p w14:paraId="5734B5A0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1C2893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Sudjeluje u raspravi o svojoj ulozi i povezanosti sa zavičajem prema događajima, interesima i vrijednostima tako što stavove iznosi nakon ostalih suučenika, kada prikupi dovoljno ideja.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16C645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od strane učitelja ili suučenika raspravlja o svojoj ulozi i povezanosti sa zavičajem prema događajima, interesima i vrijednostima.</w:t>
            </w:r>
          </w:p>
          <w:p w14:paraId="5BAB3C1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color="auto" w:sz="4" w:space="0"/>
            </w:tcBorders>
          </w:tcPr>
          <w:p w14:paraId="4F5946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Raspravlja o svojoj ulozi i povezanosti sa zavičajem prema događajima, interesima i vrijednostima.</w:t>
            </w:r>
          </w:p>
          <w:p w14:paraId="532E2E1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5C636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bottom w:val="single" w:color="auto" w:sz="4" w:space="0"/>
              <w:right w:val="double" w:color="auto" w:sz="12" w:space="0"/>
            </w:tcBorders>
          </w:tcPr>
          <w:p w14:paraId="032BE7B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Raspravlja kako izgled zavičaja utječe na način života.</w:t>
            </w:r>
          </w:p>
          <w:p w14:paraId="117A52F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  <w:bottom w:val="single" w:color="auto" w:sz="4" w:space="0"/>
            </w:tcBorders>
          </w:tcPr>
          <w:p w14:paraId="1CCE555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kako izgled zavičaja utječe na način života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32AC51CE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Isključivo uz poticaj ili prema primjerima ostalih suučenika navodi kako izgled zavičaja utječe na način života.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7F39A22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djelomično raspravlja kako izgled zavičaja utječe na način života. U raspravama se slabije snalazi.</w:t>
            </w:r>
          </w:p>
          <w:p w14:paraId="17CB20F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610F52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Raspravlja kako izgled zavičaja utječe na način života.</w:t>
            </w:r>
          </w:p>
          <w:p w14:paraId="66BC17A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color="auto" w:sz="4" w:space="0"/>
            </w:tcBorders>
          </w:tcPr>
          <w:p w14:paraId="23EDC33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Raspravlja i zaključuje  kako izgled zavičaja utječe na način života.</w:t>
            </w:r>
          </w:p>
          <w:p w14:paraId="58E4CB98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55BFA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bottom w:val="single" w:color="auto" w:sz="4" w:space="0"/>
              <w:right w:val="double" w:color="auto" w:sz="12" w:space="0"/>
            </w:tcBorders>
          </w:tcPr>
          <w:p w14:paraId="1E940A0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prirodnu i društvenu raznolikost, posebnost i prepoznatljivost zavičaja koristeći se različitim izvorima.</w:t>
            </w:r>
          </w:p>
          <w:p w14:paraId="664A27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  <w:bottom w:val="single" w:color="auto" w:sz="4" w:space="0"/>
            </w:tcBorders>
          </w:tcPr>
          <w:p w14:paraId="45EADFB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prirodnu i društvenu raznolikost, posebnost i prepoznatljivost zavičaja koristeći se različitim izvorima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5E94DB19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prepoznaje prirodnu i društvenu raznolikost, posebnost i prepoznatljivost zavičaja prema navedenim primjerima.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277E25C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prirodnu i društvenu raznolikost, posebnost i prepoznatljivost zavičaja koristeći se udžbenikom ili navedenim primjerima.</w:t>
            </w:r>
          </w:p>
          <w:p w14:paraId="0FA63EB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2D7BA77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prirodnu i društvenu raznolikost, posebnost i prepoznatljivost zavičaja koristeći se dostupnim izvorima (većinom udžbenici, digitalna tehnologija uz navođenje).</w:t>
            </w:r>
          </w:p>
          <w:p w14:paraId="77C0331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color="auto" w:sz="4" w:space="0"/>
            </w:tcBorders>
          </w:tcPr>
          <w:p w14:paraId="2374DFE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i objašnjava prirodnu i društvenu raznolikost, posebnost i prepoznatljivost zavičaja koristeći se različitim izvorima znanja. </w:t>
            </w:r>
          </w:p>
        </w:tc>
      </w:tr>
      <w:tr w14:paraId="61FF2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bottom w:val="single" w:color="auto" w:sz="4" w:space="0"/>
              <w:right w:val="double" w:color="auto" w:sz="12" w:space="0"/>
            </w:tcBorders>
          </w:tcPr>
          <w:p w14:paraId="7112F0A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društvo u zavičaju u prošlosti sa sadašnjim društvom, komentira sličnosti i različitosti.</w:t>
            </w:r>
          </w:p>
          <w:p w14:paraId="16BF5FE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  <w:bottom w:val="single" w:color="auto" w:sz="4" w:space="0"/>
            </w:tcBorders>
          </w:tcPr>
          <w:p w14:paraId="46CEDDA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društvo u zavičaju u prošlosti sa sadašnjim društvom, komentira sličnosti i različitosti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091B6855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promjene u navedenim primjerima o društvu u zavičaju u prošlosti sa sadašnjim društvom.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7B7E2B9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Navodi, ali ne uspoređuje samostalno, promjene u  društvu u zavičaju u prošlosti sa sadašnjim društvom.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713AD4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društvo u zavičaju u prošlosti sa sadašnjim društvom.</w:t>
            </w:r>
          </w:p>
          <w:p w14:paraId="325C22B8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color="auto" w:sz="4" w:space="0"/>
            </w:tcBorders>
          </w:tcPr>
          <w:p w14:paraId="78E3FC4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društvo u zavičaju u prošlosti sa sadašnjim društvom, komentira sličnosti i različitosti.</w:t>
            </w:r>
          </w:p>
          <w:p w14:paraId="13ACA9E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49247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bottom w:val="single" w:color="auto" w:sz="6" w:space="0"/>
              <w:right w:val="double" w:color="auto" w:sz="12" w:space="0"/>
            </w:tcBorders>
          </w:tcPr>
          <w:p w14:paraId="0C7C1AB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značajne osobe i događaje iz zavičaja i objašnjava njihov doprinos zavičaju i stavlja ih u povijesni slijed. </w:t>
            </w:r>
          </w:p>
          <w:p w14:paraId="4FE972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  <w:bottom w:val="single" w:color="auto" w:sz="6" w:space="0"/>
            </w:tcBorders>
          </w:tcPr>
          <w:p w14:paraId="49CADB3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značajne osobe i događaje iz zavičaja i objašnjava njihov doprinos zavičaju i stavlja ih u povijesni slijed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color="auto" w:sz="6" w:space="0"/>
            </w:tcBorders>
          </w:tcPr>
          <w:p w14:paraId="06486DF4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Povezuje na primjerima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značajne osobe i događaje iz zavičaja.  </w:t>
            </w:r>
          </w:p>
        </w:tc>
        <w:tc>
          <w:tcPr>
            <w:tcW w:w="2515" w:type="dxa"/>
            <w:tcBorders>
              <w:bottom w:val="single" w:color="auto" w:sz="6" w:space="0"/>
            </w:tcBorders>
          </w:tcPr>
          <w:p w14:paraId="159D45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značajne osobe i događaje iz zavičaja, prema predlošku povezuje njihov doprinos zavičaju i stavlja ih u povijesni slijed. </w:t>
            </w:r>
          </w:p>
          <w:p w14:paraId="23AEDA1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color="auto" w:sz="6" w:space="0"/>
            </w:tcBorders>
          </w:tcPr>
          <w:p w14:paraId="4D7604E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značajne osobe i događaje iz zavičaja i objašnjava njihov doprinos zavičaju i stavlja ih u povijesni slijed uz poticaj učitelja.</w:t>
            </w:r>
          </w:p>
          <w:p w14:paraId="05F29EB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color="auto" w:sz="6" w:space="0"/>
            </w:tcBorders>
          </w:tcPr>
          <w:p w14:paraId="43A6362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značajne osobe i događaje iz zavičaja i objašnjava njihov doprinos zavičaju i stavlja ih u povijesni slijed samostalno i točno.</w:t>
            </w:r>
          </w:p>
          <w:p w14:paraId="47C0C3CD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323A1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single" w:color="auto" w:sz="6" w:space="0"/>
              <w:bottom w:val="single" w:color="auto" w:sz="4" w:space="0"/>
              <w:right w:val="double" w:color="auto" w:sz="12" w:space="0"/>
            </w:tcBorders>
          </w:tcPr>
          <w:p w14:paraId="2161667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i procjenjuje povezanost baštine s identitetom zavičaja te ulogu baštine na zavičaj.</w:t>
            </w:r>
          </w:p>
        </w:tc>
        <w:tc>
          <w:tcPr>
            <w:tcW w:w="2680" w:type="dxa"/>
            <w:tcBorders>
              <w:top w:val="single" w:color="auto" w:sz="6" w:space="0"/>
              <w:left w:val="double" w:color="auto" w:sz="12" w:space="0"/>
              <w:bottom w:val="single" w:color="auto" w:sz="4" w:space="0"/>
            </w:tcBorders>
          </w:tcPr>
          <w:p w14:paraId="30A5C7A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i procjenjuje povezanost baštine s identitetom zavičaja te ulogu baštine na zavičaj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color="auto" w:sz="6" w:space="0"/>
              <w:bottom w:val="single" w:color="auto" w:sz="4" w:space="0"/>
            </w:tcBorders>
          </w:tcPr>
          <w:p w14:paraId="62E9A111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i uz dodatnu pomoć povezanost baštine s identitetom zavičaja te ulogu baštine na zavičaj.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4" w:space="0"/>
            </w:tcBorders>
          </w:tcPr>
          <w:p w14:paraId="37D500FD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povezanost baštine s identitetom zavičaja te ulogu baštine na zavičaj.</w:t>
            </w:r>
          </w:p>
        </w:tc>
        <w:tc>
          <w:tcPr>
            <w:tcW w:w="2514" w:type="dxa"/>
            <w:tcBorders>
              <w:top w:val="single" w:color="auto" w:sz="6" w:space="0"/>
              <w:bottom w:val="single" w:color="auto" w:sz="4" w:space="0"/>
            </w:tcBorders>
          </w:tcPr>
          <w:p w14:paraId="0193AE6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povezanost baštine s identitetom zavičaja te ulogu baštine na zavičaj.</w:t>
            </w:r>
          </w:p>
        </w:tc>
        <w:tc>
          <w:tcPr>
            <w:tcW w:w="2654" w:type="dxa"/>
            <w:tcBorders>
              <w:top w:val="single" w:color="auto" w:sz="6" w:space="0"/>
              <w:bottom w:val="single" w:color="auto" w:sz="4" w:space="0"/>
            </w:tcBorders>
          </w:tcPr>
          <w:p w14:paraId="19963348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i procjenjuje povezanost baštine s identitetom zavičaja te ulogu baštine na zavičaj.</w:t>
            </w:r>
          </w:p>
        </w:tc>
      </w:tr>
      <w:tr w14:paraId="72BAE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single" w:color="auto" w:sz="4" w:space="0"/>
              <w:bottom w:val="single" w:color="auto" w:sz="4" w:space="0"/>
              <w:right w:val="double" w:color="auto" w:sz="12" w:space="0"/>
            </w:tcBorders>
          </w:tcPr>
          <w:p w14:paraId="7EF13F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i opisuje neku od zaštićenih biljnih i/ili životinjskih zavičajnih vrsta te predlaže načine njezina očuvanja.</w:t>
            </w:r>
          </w:p>
          <w:p w14:paraId="764D5F0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color="auto" w:sz="4" w:space="0"/>
              <w:left w:val="double" w:color="auto" w:sz="12" w:space="0"/>
              <w:bottom w:val="single" w:color="auto" w:sz="4" w:space="0"/>
            </w:tcBorders>
          </w:tcPr>
          <w:p w14:paraId="1143A2EE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i opisuje neku od zaštićenih biljnih i/ili životinjskih zavičajnih vrsta te predlaže načine njezina očuvanja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color="auto" w:sz="4" w:space="0"/>
              <w:bottom w:val="single" w:color="auto" w:sz="4" w:space="0"/>
            </w:tcBorders>
          </w:tcPr>
          <w:p w14:paraId="0B992A66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Opisuje jednu od zaštićenih biljnih i/ili životinjskih zavičajnih vrsta.</w:t>
            </w:r>
          </w:p>
          <w:p w14:paraId="6ACE4306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top w:val="single" w:color="auto" w:sz="4" w:space="0"/>
              <w:bottom w:val="single" w:color="auto" w:sz="4" w:space="0"/>
            </w:tcBorders>
          </w:tcPr>
          <w:p w14:paraId="0DFC37C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neku od zaštićenih biljnih i/ili životinjskih zavičajnih vrsta te predlaže načine njezina očuvanja.</w:t>
            </w:r>
          </w:p>
          <w:p w14:paraId="05EE30B9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color="auto" w:sz="4" w:space="0"/>
              <w:bottom w:val="single" w:color="auto" w:sz="4" w:space="0"/>
            </w:tcBorders>
          </w:tcPr>
          <w:p w14:paraId="1FF504B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i opisuje neku od zaštićenih biljnih i/ili životinjskih zavičajnih vrsta te predlaže načine njezina očuvanja uz poneke manje greške.</w:t>
            </w:r>
          </w:p>
          <w:p w14:paraId="1DCFE048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color="auto" w:sz="4" w:space="0"/>
              <w:bottom w:val="single" w:color="auto" w:sz="4" w:space="0"/>
            </w:tcBorders>
          </w:tcPr>
          <w:p w14:paraId="15C2D38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imenuje i opisuje neku od zaštićenih biljnih i/ili životinjskih zavičajnih vrsta te predlaže načine njezina očuvanja.</w:t>
            </w:r>
          </w:p>
          <w:p w14:paraId="6E38820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ADBF10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287FA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single" w:color="auto" w:sz="4" w:space="0"/>
              <w:bottom w:val="single" w:color="auto" w:sz="8" w:space="0"/>
              <w:right w:val="double" w:color="auto" w:sz="12" w:space="0"/>
            </w:tcBorders>
          </w:tcPr>
          <w:p w14:paraId="79E3802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načine zaštite i očuvanja prirodne, kulturne i povijesne baštine zavičaja.</w:t>
            </w:r>
          </w:p>
          <w:p w14:paraId="66D25E4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481020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color="auto" w:sz="4" w:space="0"/>
              <w:left w:val="double" w:color="auto" w:sz="12" w:space="0"/>
              <w:bottom w:val="single" w:color="auto" w:sz="8" w:space="0"/>
            </w:tcBorders>
          </w:tcPr>
          <w:p w14:paraId="3436F34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primjere i načine zaštite i očuvanja prirodne, kulturne i povijesne baštine zavičaja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color="auto" w:sz="4" w:space="0"/>
              <w:bottom w:val="single" w:color="auto" w:sz="8" w:space="0"/>
            </w:tcBorders>
          </w:tcPr>
          <w:p w14:paraId="08E05C86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nabraja načine zaštite i očuvanja prirodne, kulturne i povijesne baštine zavičaja.</w:t>
            </w:r>
          </w:p>
          <w:p w14:paraId="224A336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</w:p>
          <w:p w14:paraId="13A2F580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</w:p>
          <w:p w14:paraId="3B208C04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top w:val="single" w:color="auto" w:sz="4" w:space="0"/>
              <w:bottom w:val="single" w:color="auto" w:sz="8" w:space="0"/>
            </w:tcBorders>
          </w:tcPr>
          <w:p w14:paraId="6AA85463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Nabraja načine zaštite i očuvanja prirodne, kulturne i povijesne baštine zavičaja.</w:t>
            </w:r>
          </w:p>
        </w:tc>
        <w:tc>
          <w:tcPr>
            <w:tcW w:w="2514" w:type="dxa"/>
            <w:tcBorders>
              <w:top w:val="single" w:color="auto" w:sz="4" w:space="0"/>
              <w:bottom w:val="single" w:color="auto" w:sz="8" w:space="0"/>
            </w:tcBorders>
          </w:tcPr>
          <w:p w14:paraId="365C5E5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načine zaštite i očuvanja prirodne, kulturne i povijesne baštine zavičaja.</w:t>
            </w:r>
          </w:p>
          <w:p w14:paraId="56BA391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color="auto" w:sz="4" w:space="0"/>
              <w:bottom w:val="single" w:color="auto" w:sz="8" w:space="0"/>
            </w:tcBorders>
          </w:tcPr>
          <w:p w14:paraId="412E4E53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načine zaštite i očuvanja prirodne, kulturne i povijesne baštine zavičaja te pojašnjava zašto je važno očuvati iste.</w:t>
            </w:r>
          </w:p>
        </w:tc>
      </w:tr>
      <w:tr w14:paraId="7A1BA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tcBorders>
              <w:top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DEEAF6" w:themeFill="accent1" w:themeFillTint="33"/>
          </w:tcPr>
          <w:p w14:paraId="4B3CE4A0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C.3.2. Učenik raspravlja o utjecaju pravila, prava i dužnosti na pojedinca i zajednicu.</w:t>
            </w:r>
          </w:p>
        </w:tc>
      </w:tr>
      <w:tr w14:paraId="55651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11BCC3C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11AF07A7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02C55628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786F0C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3ECF0D1C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2836B25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05AD1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2672A31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Raspravlja o pravilima i dužnostima te posljedicama za njihovo nepoštivanje.</w:t>
            </w:r>
          </w:p>
          <w:p w14:paraId="2208747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39686A2C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pravilima i dužnostima te posljedicama za njihovo nepoštivanje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color="auto" w:sz="6" w:space="0"/>
              <w:bottom w:val="single" w:color="auto" w:sz="6" w:space="0"/>
            </w:tcBorders>
          </w:tcPr>
          <w:p w14:paraId="75BDE044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Sluša raspravu o  pravilima i dužnostima, ali se ne unosi u raspravu.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6" w:space="0"/>
            </w:tcBorders>
          </w:tcPr>
          <w:p w14:paraId="1051791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uz poticaj raspravlja o pravilima i dužnostima.</w:t>
            </w:r>
          </w:p>
        </w:tc>
        <w:tc>
          <w:tcPr>
            <w:tcW w:w="2514" w:type="dxa"/>
            <w:tcBorders>
              <w:top w:val="single" w:color="auto" w:sz="6" w:space="0"/>
              <w:bottom w:val="single" w:color="auto" w:sz="6" w:space="0"/>
            </w:tcBorders>
          </w:tcPr>
          <w:p w14:paraId="6E0DC09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Raspravlja o pravilima i dužnostima te posljedicama za njihovo nepoštivanje.</w:t>
            </w:r>
          </w:p>
          <w:p w14:paraId="209ECF2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color="auto" w:sz="6" w:space="0"/>
              <w:bottom w:val="single" w:color="auto" w:sz="6" w:space="0"/>
            </w:tcBorders>
          </w:tcPr>
          <w:p w14:paraId="077DF1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Raspravlja o pravilima i dužnostima te posljedicama za njihovo nepoštivanje i iznosi svoje stavove o snošenju posljedica kršenja prava ili neizvršavanja dužnosti.</w:t>
            </w:r>
          </w:p>
        </w:tc>
      </w:tr>
      <w:tr w14:paraId="6C68C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23606F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i raspravlja o pravilima u digitalnome okružju.</w:t>
            </w:r>
          </w:p>
          <w:p w14:paraId="2363C7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45F50CA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i raspravlja o pravilima u digitalnome okružju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color="auto" w:sz="6" w:space="0"/>
              <w:bottom w:val="single" w:color="auto" w:sz="6" w:space="0"/>
            </w:tcBorders>
          </w:tcPr>
          <w:p w14:paraId="64F3C600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Uz stalni poticaj prepoznaje pravila u digitalnome okružju ako su jasno istaknuta ili navedena.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6" w:space="0"/>
            </w:tcBorders>
          </w:tcPr>
          <w:p w14:paraId="76FFCB9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pravila u digitalnome okružju ako su jasno istaknuta ili navedena.</w:t>
            </w:r>
          </w:p>
        </w:tc>
        <w:tc>
          <w:tcPr>
            <w:tcW w:w="2514" w:type="dxa"/>
            <w:tcBorders>
              <w:top w:val="single" w:color="auto" w:sz="6" w:space="0"/>
              <w:bottom w:val="single" w:color="auto" w:sz="6" w:space="0"/>
            </w:tcBorders>
          </w:tcPr>
          <w:p w14:paraId="74242A7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o pravilima u digitalnome okružju.</w:t>
            </w:r>
          </w:p>
          <w:p w14:paraId="4E320E4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color="auto" w:sz="6" w:space="0"/>
              <w:bottom w:val="single" w:color="auto" w:sz="6" w:space="0"/>
            </w:tcBorders>
          </w:tcPr>
          <w:p w14:paraId="2A7EDD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i raspravlja o pravilima u digitalnome okružju.</w:t>
            </w:r>
          </w:p>
          <w:p w14:paraId="715BDE3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76E4A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097CD92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Ispunjava dužnosti u razredu i školi.</w:t>
            </w:r>
          </w:p>
          <w:p w14:paraId="52EC302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49FF58C0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ispunjava dužnosti u razredu i školi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color="auto" w:sz="6" w:space="0"/>
              <w:bottom w:val="single" w:color="auto" w:sz="6" w:space="0"/>
            </w:tcBorders>
          </w:tcPr>
          <w:p w14:paraId="63FC93C4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Rijetko ispunjava dužnosti u razredu i školi te je potreban stalan poticaj i motivacija na ispunjavanje obveza i dužnosti. Isto često zanemaruje i kod kuće, što ukazuje na nesustavnost u razvijanju  radnih navika, ali i dužnosti.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6" w:space="0"/>
            </w:tcBorders>
          </w:tcPr>
          <w:p w14:paraId="38D63B3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odstupa od ispunjavanja dužnosti u razredu i školi, ali na poticaj pozitivno reagira.</w:t>
            </w:r>
          </w:p>
          <w:p w14:paraId="6BBDB41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</w:t>
            </w:r>
          </w:p>
        </w:tc>
        <w:tc>
          <w:tcPr>
            <w:tcW w:w="2514" w:type="dxa"/>
            <w:tcBorders>
              <w:top w:val="single" w:color="auto" w:sz="6" w:space="0"/>
              <w:bottom w:val="single" w:color="auto" w:sz="6" w:space="0"/>
            </w:tcBorders>
          </w:tcPr>
          <w:p w14:paraId="74B7E08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Ispunjava dužnosti u razredu i školi.</w:t>
            </w:r>
          </w:p>
          <w:p w14:paraId="67B3F50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color="auto" w:sz="6" w:space="0"/>
              <w:bottom w:val="single" w:color="auto" w:sz="6" w:space="0"/>
            </w:tcBorders>
          </w:tcPr>
          <w:p w14:paraId="4D2C8F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potpunosti ispunjava dužnosti u razredu i školi te sustavno brine o kvaliteti istoga, kako svojih, tako potiče i vršnjake na isto.</w:t>
            </w:r>
          </w:p>
          <w:p w14:paraId="7DCB2F5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4E772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6BE2A2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 odnose i ravnotežu između prava i dužnosti te uzroke i posljedice svojih postupaka u poštivanju prava drugih.</w:t>
            </w:r>
          </w:p>
          <w:p w14:paraId="5CB9BC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5C9336E8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odnose i ravnotežu između prava i dužnosti te uzroke i posljedice svojih postupaka u poštivanju prava drugih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color="auto" w:sz="6" w:space="0"/>
              <w:bottom w:val="single" w:color="auto" w:sz="6" w:space="0"/>
            </w:tcBorders>
          </w:tcPr>
          <w:p w14:paraId="16AE40B2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Teže shvaća važnost odnosa i ravnoteže između prava i dužnosti, i teško prihvaća odgovornost u slučaju nepoštivanja prava drugih.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6" w:space="0"/>
            </w:tcBorders>
          </w:tcPr>
          <w:p w14:paraId="7AC752C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 odnose i ravnotežu između prava i dužnosti, ali teže prihvaća posljedice svojih postupaka u poštivanju prava drugih.</w:t>
            </w:r>
          </w:p>
          <w:p w14:paraId="35F49B0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color="auto" w:sz="6" w:space="0"/>
              <w:bottom w:val="single" w:color="auto" w:sz="6" w:space="0"/>
            </w:tcBorders>
          </w:tcPr>
          <w:p w14:paraId="4BBED17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 odnose i ravnotežu između prava i dužnosti te uzroke i posljedice svojih postupaka u poštivanju prava drugih.</w:t>
            </w:r>
          </w:p>
          <w:p w14:paraId="03ECDF8C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color="auto" w:sz="6" w:space="0"/>
              <w:bottom w:val="single" w:color="auto" w:sz="6" w:space="0"/>
            </w:tcBorders>
          </w:tcPr>
          <w:p w14:paraId="3148BC93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 odnose i ravnotežu između prava i dužnosti te uzroke i posljedice svojih postupaka u poštivanju prava drugih te zaključuje o svome djelovanju i djelovanju svojih vršnjaka te predlaže načine kako poboljšati nepravilnosti.</w:t>
            </w:r>
          </w:p>
        </w:tc>
      </w:tr>
      <w:tr w14:paraId="18E3C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5" w:type="dxa"/>
            <w:gridSpan w:val="3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5D3CA500">
            <w:pPr>
              <w:pStyle w:val="11"/>
              <w:numPr>
                <w:ilvl w:val="0"/>
                <w:numId w:val="18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Sudjeluje u različitim humanitarnim i ekološkim aktivnostima. </w:t>
            </w:r>
          </w:p>
          <w:p w14:paraId="576026A1">
            <w:pPr>
              <w:pStyle w:val="11"/>
              <w:numPr>
                <w:ilvl w:val="0"/>
                <w:numId w:val="18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Raspravlja o ljudskim pravima i pravima djece. </w:t>
            </w:r>
          </w:p>
          <w:p w14:paraId="5986ACF9">
            <w:pPr>
              <w:pStyle w:val="11"/>
              <w:numPr>
                <w:ilvl w:val="0"/>
                <w:numId w:val="18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Uvažava različitosti i razvija osjećaj tolerancije. </w:t>
            </w:r>
          </w:p>
          <w:p w14:paraId="4539778E">
            <w:pPr>
              <w:pStyle w:val="11"/>
              <w:numPr>
                <w:ilvl w:val="0"/>
                <w:numId w:val="18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mirnoga rješavanja problema.</w:t>
            </w:r>
          </w:p>
        </w:tc>
        <w:tc>
          <w:tcPr>
            <w:tcW w:w="7683" w:type="dxa"/>
            <w:gridSpan w:val="3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48AC667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14:paraId="78A60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tcBorders>
              <w:top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DEEAF6" w:themeFill="accent1" w:themeFillTint="33"/>
          </w:tcPr>
          <w:p w14:paraId="1703677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C.3.3. Učenik povezuje prirodno i društveno okružje s gospodarstvom zavičaja.</w:t>
            </w:r>
          </w:p>
        </w:tc>
      </w:tr>
      <w:tr w14:paraId="27FBD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1524D4C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41028638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18E3DC3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7884544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07A2961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0363D55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72877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02322C9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važnost različitih zanimanja i djelatnosti u zavičaju. </w:t>
            </w:r>
          </w:p>
          <w:p w14:paraId="03AC757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0A2267F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važnost različitih zanimanja i djelatnosti u zavičaju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color="auto" w:sz="6" w:space="0"/>
              <w:bottom w:val="single" w:color="auto" w:sz="6" w:space="0"/>
            </w:tcBorders>
          </w:tcPr>
          <w:p w14:paraId="52B1ACB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važnost različitih zanimanja i djelatnosti u zavičaju. </w:t>
            </w:r>
          </w:p>
          <w:p w14:paraId="64FA2DA3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top w:val="single" w:color="auto" w:sz="6" w:space="0"/>
              <w:bottom w:val="single" w:color="auto" w:sz="6" w:space="0"/>
            </w:tcBorders>
          </w:tcPr>
          <w:p w14:paraId="053C164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nabraja važnost različitih zanimanja i djelatnosti u zavičaju. </w:t>
            </w:r>
          </w:p>
          <w:p w14:paraId="6CB5C30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color="auto" w:sz="6" w:space="0"/>
              <w:bottom w:val="single" w:color="auto" w:sz="6" w:space="0"/>
            </w:tcBorders>
          </w:tcPr>
          <w:p w14:paraId="6D302C8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objašnjava važnost različitih zanimanja i djelatnosti u zavičaju. </w:t>
            </w:r>
          </w:p>
          <w:p w14:paraId="14086E5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color="auto" w:sz="6" w:space="0"/>
              <w:bottom w:val="single" w:color="auto" w:sz="6" w:space="0"/>
            </w:tcBorders>
          </w:tcPr>
          <w:p w14:paraId="6C2976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i objašnjava važnost različitih zanimanja i djelatnosti u zavičaju. </w:t>
            </w:r>
          </w:p>
          <w:p w14:paraId="227EB8E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14:paraId="1CD5E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3B0B45B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važnost rada i povezanost sa zaradom i zadovoljavanjem osnovnih životnih potreba.</w:t>
            </w:r>
          </w:p>
          <w:p w14:paraId="2F25CD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585840E6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važnost rada i povezanost sa zaradom i zadovoljavanjem osnovnih životnih potreba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color="auto" w:sz="6" w:space="0"/>
              <w:bottom w:val="single" w:color="auto" w:sz="6" w:space="0"/>
            </w:tcBorders>
          </w:tcPr>
          <w:p w14:paraId="0DA7D101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shvaća  važnost rada i povezanost sa zaradom i zadovoljavanjem osnovnih životnih potreba.</w:t>
            </w:r>
          </w:p>
          <w:p w14:paraId="4CBEA3AD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top w:val="single" w:color="auto" w:sz="6" w:space="0"/>
              <w:bottom w:val="single" w:color="auto" w:sz="6" w:space="0"/>
            </w:tcBorders>
          </w:tcPr>
          <w:p w14:paraId="7A09C47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  važnost rada i povezanost sa zaradom i zadovoljavanjem osnovnih životnih potreba.</w:t>
            </w:r>
          </w:p>
          <w:p w14:paraId="489A01C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color="auto" w:sz="6" w:space="0"/>
              <w:bottom w:val="single" w:color="auto" w:sz="6" w:space="0"/>
            </w:tcBorders>
          </w:tcPr>
          <w:p w14:paraId="63C1FBE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 i opisuje važnost rada i povezanost sa zaradom i zadovoljavanjem osnovnih životnih potreba.</w:t>
            </w:r>
          </w:p>
          <w:p w14:paraId="5744337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color="auto" w:sz="6" w:space="0"/>
              <w:bottom w:val="single" w:color="auto" w:sz="6" w:space="0"/>
            </w:tcBorders>
          </w:tcPr>
          <w:p w14:paraId="6E786C0C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Shvaća, opisuje i zaključuje o  važnosti rada i povezanost sa zaradom i zadovoljavanjem osnovnih životnih potreba. Isto povezuje s napretkom u školi i učenju radi znanja, a ne radi ocjene.</w:t>
            </w:r>
          </w:p>
        </w:tc>
      </w:tr>
      <w:tr w14:paraId="273A2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40CCA83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prednosti i nedostatke zavičajnoga okružja i povezuje ih s gospodarskim mogućnostima.</w:t>
            </w:r>
          </w:p>
          <w:p w14:paraId="55AC80C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55D450AB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prednosti i nedostatke zavičajnoga okružja i povezuje ih s gospodarskim mogućnostima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color="auto" w:sz="6" w:space="0"/>
              <w:bottom w:val="single" w:color="auto" w:sz="6" w:space="0"/>
            </w:tcBorders>
          </w:tcPr>
          <w:p w14:paraId="4D2780D2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Uz pomoć navodi prednosti i nedostatke zavičajnoga okružja.</w:t>
            </w:r>
          </w:p>
        </w:tc>
        <w:tc>
          <w:tcPr>
            <w:tcW w:w="2515" w:type="dxa"/>
            <w:tcBorders>
              <w:top w:val="single" w:color="auto" w:sz="6" w:space="0"/>
              <w:bottom w:val="single" w:color="auto" w:sz="6" w:space="0"/>
            </w:tcBorders>
          </w:tcPr>
          <w:p w14:paraId="28220D3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prednosti i nedostatke zavičajnoga okružja, ali ih slabije povezuje  s gospodarskim mogućnostima.</w:t>
            </w:r>
          </w:p>
          <w:p w14:paraId="7F85C3D0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color="auto" w:sz="6" w:space="0"/>
              <w:bottom w:val="single" w:color="auto" w:sz="6" w:space="0"/>
            </w:tcBorders>
          </w:tcPr>
          <w:p w14:paraId="49B6065C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prednosti i nedostatke zavičajnoga okružja i povezuje ih s gospodarskim mogućnostima uz manje greške ili navođenja i potpitanja.</w:t>
            </w:r>
          </w:p>
        </w:tc>
        <w:tc>
          <w:tcPr>
            <w:tcW w:w="2654" w:type="dxa"/>
            <w:tcBorders>
              <w:top w:val="single" w:color="auto" w:sz="6" w:space="0"/>
              <w:bottom w:val="single" w:color="auto" w:sz="6" w:space="0"/>
            </w:tcBorders>
          </w:tcPr>
          <w:p w14:paraId="54B2CD0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prednosti i nedostatke zavičajnoga okružja i povezuje ih s gospodarskim mogućnostima.</w:t>
            </w:r>
          </w:p>
          <w:p w14:paraId="671EE4BD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6ADEF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5" w:type="dxa"/>
            <w:gridSpan w:val="3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16AD1AA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i predlaže načine gospodarskoga razvoja mjesta.</w:t>
            </w:r>
          </w:p>
          <w:p w14:paraId="443086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na primjerima poduzetnost i inovativnost.</w:t>
            </w:r>
          </w:p>
          <w:p w14:paraId="022D5D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Razvija poduzetnički duh.</w:t>
            </w:r>
          </w:p>
          <w:p w14:paraId="1BC1837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odgovornoga trošenja novca i načine štednje.</w:t>
            </w:r>
          </w:p>
          <w:p w14:paraId="0E0EDFD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poboljšanja kvalitete života u školskome okružju.</w:t>
            </w:r>
          </w:p>
        </w:tc>
        <w:tc>
          <w:tcPr>
            <w:tcW w:w="7683" w:type="dxa"/>
            <w:gridSpan w:val="3"/>
            <w:tcBorders>
              <w:top w:val="single" w:color="auto" w:sz="6" w:space="0"/>
              <w:left w:val="double" w:color="auto" w:sz="12" w:space="0"/>
              <w:bottom w:val="single" w:color="auto" w:sz="6" w:space="0"/>
            </w:tcBorders>
          </w:tcPr>
          <w:p w14:paraId="6BAD457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14:paraId="3C16E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shd w:val="clear" w:color="auto" w:fill="C5E0B3" w:themeFill="accent6" w:themeFillTint="66"/>
          </w:tcPr>
          <w:p w14:paraId="77100183">
            <w:pPr>
              <w:spacing w:after="0" w:line="240" w:lineRule="auto"/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D: ENERGIJA</w:t>
            </w:r>
          </w:p>
        </w:tc>
      </w:tr>
      <w:tr w14:paraId="387AD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tcBorders>
              <w:right w:val="single" w:color="auto" w:sz="4" w:space="0"/>
            </w:tcBorders>
            <w:shd w:val="clear" w:color="auto" w:fill="DEEAF6" w:themeFill="accent1" w:themeFillTint="33"/>
          </w:tcPr>
          <w:p w14:paraId="17F19E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D.3.1. Učenik opisuje različite primjere korištenja, prijenosa</w:t>
            </w:r>
          </w:p>
          <w:p w14:paraId="554E50B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 pretvorbe energije na temelju vlastitih iskustava.</w:t>
            </w:r>
          </w:p>
        </w:tc>
      </w:tr>
      <w:tr w14:paraId="153B2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5C834A9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33D1040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74956353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221069F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6ABE7B5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288F1C3D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6484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576F384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načine korištenja energijom u svome okolišu.</w:t>
            </w:r>
          </w:p>
          <w:p w14:paraId="18C45F50">
            <w:pPr>
              <w:spacing w:after="0" w:line="240" w:lineRule="auto"/>
              <w:rPr>
                <w:rFonts w:eastAsia="Times New Roman" w:cstheme="minorHAnsi"/>
                <w:sz w:val="24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40894C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načine korištenja energijom u svome okolišu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6E50DB59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Prema primjeru ili nakon suučenika </w:t>
            </w:r>
          </w:p>
        </w:tc>
        <w:tc>
          <w:tcPr>
            <w:tcW w:w="2515" w:type="dxa"/>
          </w:tcPr>
          <w:p w14:paraId="06EF60F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načine korištenja energijom u svome okolišu.</w:t>
            </w:r>
          </w:p>
          <w:p w14:paraId="2EFBE17D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10065181">
            <w:pPr>
              <w:spacing w:after="0" w:line="240" w:lineRule="auto"/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načine korištenja energijom u svome okolišu.</w:t>
            </w:r>
          </w:p>
        </w:tc>
        <w:tc>
          <w:tcPr>
            <w:tcW w:w="2654" w:type="dxa"/>
          </w:tcPr>
          <w:p w14:paraId="5D71743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 i objašnjava načine korištenja energijom u svome okolišu.</w:t>
            </w:r>
          </w:p>
        </w:tc>
      </w:tr>
      <w:tr w14:paraId="3BBB1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52825A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primjere prijenosa električne energije i topline.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6DE612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primjere prijenosa električne energije i topline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E6D30B9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Isključivo prema primjeru navodi jedan primjer prijenosa električne energije i topline.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2DF2FDA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ili prema primjeru navodi primjere prijenosa električne energije i topline.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5DF9BE5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primjere prijenosa električne energije i topline.</w:t>
            </w:r>
          </w:p>
        </w:tc>
        <w:tc>
          <w:tcPr>
            <w:tcW w:w="2654" w:type="dxa"/>
            <w:tcBorders>
              <w:bottom w:val="single" w:color="auto" w:sz="4" w:space="0"/>
            </w:tcBorders>
          </w:tcPr>
          <w:p w14:paraId="5108052B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navodi i objašnjava primjere prijenosa električne energije i topline.</w:t>
            </w:r>
          </w:p>
        </w:tc>
      </w:tr>
      <w:tr w14:paraId="2056D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774C93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načine kako se gubitci topline mogu bitno smanjiti.</w:t>
            </w:r>
          </w:p>
          <w:p w14:paraId="09F04F6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632266D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načine kako se gubitci topline mogu bitno smanjiti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6C0FE8C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Metodom pokušaja i pogrešaka i uz pomoć prepoznaje načine kako se gubitci topline mogu bitno smanjiti.</w:t>
            </w:r>
          </w:p>
          <w:p w14:paraId="39D08386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39625A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načine kako se gubitci topline mogu bitno smanjiti.</w:t>
            </w:r>
          </w:p>
          <w:p w14:paraId="0F528CB7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0D2A9D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poznatim primjerima opisuje načine kako se gubitci topline mogu bitno smanjiti.</w:t>
            </w:r>
          </w:p>
          <w:p w14:paraId="6CED0492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color="auto" w:sz="4" w:space="0"/>
            </w:tcBorders>
          </w:tcPr>
          <w:p w14:paraId="36FA948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načine kako se gubitci topline mogu bitno smanjiti.</w:t>
            </w:r>
          </w:p>
          <w:p w14:paraId="5BD548CD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692E7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607A958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pretvorbu energije iz jednoga oblika u drugi na primjeru.</w:t>
            </w:r>
          </w:p>
          <w:p w14:paraId="11F549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0A203A6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pretvorbu energije iz jednoga oblika u drugi na primjeru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16CFF9F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Teško i s nerazumijevanjem navodi prema obrađenome primjeru pretvorbu energije iz jednoga oblika u drugi.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1D9742D1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prema obrađenome primjeru pretvorbu energije iz jednoga oblika u drugi.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4EEB0D6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pretvorbu energije iz jednoga oblika u drugi na primjeru uz poneko pitanje ili dopunu.</w:t>
            </w:r>
          </w:p>
        </w:tc>
        <w:tc>
          <w:tcPr>
            <w:tcW w:w="2654" w:type="dxa"/>
            <w:tcBorders>
              <w:bottom w:val="single" w:color="auto" w:sz="4" w:space="0"/>
            </w:tcBorders>
          </w:tcPr>
          <w:p w14:paraId="673614E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pretvorbu energije iz jednoga oblika u drugi na primjeru bez pomoći učitelja i s jasnim razumijevanjem.</w:t>
            </w:r>
          </w:p>
          <w:p w14:paraId="2A6E6BE8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6F667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0F32902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Otkriva kako pojedini izvori i oblici energije utječu na okoliš.</w:t>
            </w:r>
          </w:p>
          <w:p w14:paraId="75C911E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0901D552">
            <w:pPr>
              <w:spacing w:after="0" w:line="240" w:lineRule="auto"/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otkriva kako pojedini izvori i oblici energije utječu na okoliš</w:t>
            </w:r>
          </w:p>
          <w:p w14:paraId="3DBFFE6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0CD537D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pri navedenim primjerima kako pojedini izvori i oblici energije utječu na okoliš.</w:t>
            </w:r>
          </w:p>
          <w:p w14:paraId="09901755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77DBBDC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kako pojedini izvori i oblici energije utječu na okoliš, ali se na to mora jasno ukazati.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67EBCEC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Otkriva kako pojedini izvori i oblici energije utječu na okoliš, ali pri tome ipak traži povratnu informaciju o točnosti zaključivanja.</w:t>
            </w:r>
          </w:p>
          <w:p w14:paraId="440CEB23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color="auto" w:sz="4" w:space="0"/>
            </w:tcBorders>
          </w:tcPr>
          <w:p w14:paraId="5C68E0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lakoćom otkriva kako pojedini izvori i oblici energije utječu na okoliš.</w:t>
            </w:r>
          </w:p>
          <w:p w14:paraId="3EA58830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1942E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268966F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načine primjene energije u zavičaju.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003F713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načine primjene energije u zavičaju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CE704E7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Nabraja prema predlošku načine primjere energije u zavičaju. Samostalno ih ne prepoznaje niti opisuje.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65B3D50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ali ne opisuje samostalno načine primjene energije u zavičaju.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3F0158B9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načine primjene energije u zavičaju.</w:t>
            </w:r>
          </w:p>
        </w:tc>
        <w:tc>
          <w:tcPr>
            <w:tcW w:w="2654" w:type="dxa"/>
            <w:tcBorders>
              <w:bottom w:val="single" w:color="auto" w:sz="4" w:space="0"/>
            </w:tcBorders>
          </w:tcPr>
          <w:p w14:paraId="31B5747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nabraja, razlikuje i opisuje načine primjene energije u zavičaju.</w:t>
            </w:r>
          </w:p>
        </w:tc>
      </w:tr>
      <w:tr w14:paraId="7333C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664CCB41">
            <w:pPr>
              <w:spacing w:after="0" w:line="240" w:lineRule="auto"/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Povezuje prirodna obilježja zavičaja s mogućnostima upotrebe obnovljivih izvora energije.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2B1E7D3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prirodna obilježja zavičaja s mogućnostima upotrebe obnovljivih izvora energije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F39EB6E">
            <w:pPr>
              <w:spacing w:after="0" w:line="240" w:lineRule="auto"/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Teže povezuje i nakon nekoliko ponavljanja  prirodna obilježja zavičaja s mogućnostima upotrebe obnovljivih izvora energije.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5D77EF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i prema primjeru ili uz učiteljevu pomoć povezuje prirodna obilježja zavičaja s mogućnostima upotrebe obnovljivih izvora energije.</w:t>
            </w:r>
          </w:p>
          <w:p w14:paraId="0F22683E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  <w:p w14:paraId="3C0984B2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5434812C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povezuje prirodna obilježja zavičaja s mogućnostima upotrebe obnovljivih izvora energije.</w:t>
            </w:r>
          </w:p>
        </w:tc>
        <w:tc>
          <w:tcPr>
            <w:tcW w:w="2654" w:type="dxa"/>
            <w:tcBorders>
              <w:bottom w:val="single" w:color="auto" w:sz="4" w:space="0"/>
            </w:tcBorders>
          </w:tcPr>
          <w:p w14:paraId="7D4C4D0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Povezuje prirodna obilježja zavičaja s mogućnostima upotrebe obnovljivih izvora energije.</w:t>
            </w:r>
          </w:p>
        </w:tc>
      </w:tr>
      <w:tr w14:paraId="4C87B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shd w:val="clear" w:color="auto" w:fill="C5E0B3" w:themeFill="accent6" w:themeFillTint="66"/>
          </w:tcPr>
          <w:p w14:paraId="0692E5D4">
            <w:pPr>
              <w:spacing w:after="0" w:line="240" w:lineRule="auto"/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 xml:space="preserve"> ISTRAŽIVAČKI PRISTUP</w:t>
            </w:r>
          </w:p>
        </w:tc>
      </w:tr>
      <w:tr w14:paraId="31CF8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8" w:type="dxa"/>
            <w:gridSpan w:val="6"/>
            <w:tcBorders>
              <w:right w:val="single" w:color="auto" w:sz="4" w:space="0"/>
            </w:tcBorders>
            <w:shd w:val="clear" w:color="auto" w:fill="DEEAF6" w:themeFill="accent1" w:themeFillTint="33"/>
          </w:tcPr>
          <w:p w14:paraId="49B7709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A.B.C.D.3.1. Učenik uz usmjeravanje objašnjava rezultate vlastitih istraživanja prirode,</w:t>
            </w:r>
          </w:p>
          <w:p w14:paraId="6959B70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prirodnih i/ili društvenih pojava i/ili različitih izvora informacija.</w:t>
            </w:r>
          </w:p>
        </w:tc>
      </w:tr>
      <w:tr w14:paraId="02B7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029D104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5E86C8E3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73D59CC8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4ECA036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64CB25AF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6071A44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27627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43B9BE6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Promatra i opisuje.</w:t>
            </w:r>
          </w:p>
          <w:p w14:paraId="7CE6C7D8">
            <w:pPr>
              <w:spacing w:after="0" w:line="240" w:lineRule="auto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3C8DB21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promatra i opisuje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22F4EEC0">
            <w:pPr>
              <w:pStyle w:val="11"/>
              <w:spacing w:after="0" w:line="240" w:lineRule="auto"/>
              <w:ind w:left="36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Promatra, ali ne opisuje promatrane pojave/istraživanja.</w:t>
            </w:r>
          </w:p>
        </w:tc>
        <w:tc>
          <w:tcPr>
            <w:tcW w:w="2515" w:type="dxa"/>
            <w:tcBorders>
              <w:bottom w:val="single" w:color="auto" w:sz="4" w:space="0"/>
            </w:tcBorders>
          </w:tcPr>
          <w:p w14:paraId="2977F48C">
            <w:pPr>
              <w:pStyle w:val="11"/>
              <w:spacing w:after="0" w:line="240" w:lineRule="auto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Promatra, ali samostalno teže opisuje promatrane pojave/istraživanja.</w:t>
            </w:r>
          </w:p>
        </w:tc>
        <w:tc>
          <w:tcPr>
            <w:tcW w:w="2514" w:type="dxa"/>
            <w:tcBorders>
              <w:bottom w:val="single" w:color="auto" w:sz="4" w:space="0"/>
            </w:tcBorders>
          </w:tcPr>
          <w:p w14:paraId="79ED6C8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Promatra i opisuje </w:t>
            </w:r>
            <w:r>
              <w:rPr>
                <w:rFonts w:cstheme="minorHAnsi"/>
                <w:sz w:val="24"/>
                <w:szCs w:val="24"/>
              </w:rPr>
              <w:t>promatrane pojave/istraživanja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4" w:type="dxa"/>
            <w:tcBorders>
              <w:bottom w:val="single" w:color="auto" w:sz="4" w:space="0"/>
            </w:tcBorders>
          </w:tcPr>
          <w:p w14:paraId="246A91A7">
            <w:pPr>
              <w:spacing w:after="0" w:line="240" w:lineRule="auto"/>
              <w:ind w:left="35"/>
              <w:rPr>
                <w:rFonts w:eastAsia="Times New Roman" w:cstheme="minorHAnsi"/>
                <w:strike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Promatra, nabraja, opisuje i zaključuje </w:t>
            </w:r>
            <w:r>
              <w:rPr>
                <w:rFonts w:cstheme="minorHAnsi"/>
                <w:sz w:val="24"/>
                <w:szCs w:val="24"/>
              </w:rPr>
              <w:t>promatrane pojave/istraživanja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14:paraId="3E94B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6A3CD5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pitanja.</w:t>
            </w:r>
          </w:p>
          <w:p w14:paraId="2D8D08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1680C94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postavlja pitanja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65B64B1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Rijetko postavlja pitanja.</w:t>
            </w:r>
          </w:p>
        </w:tc>
        <w:tc>
          <w:tcPr>
            <w:tcW w:w="2515" w:type="dxa"/>
          </w:tcPr>
          <w:p w14:paraId="1D6C525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zatvorenog tipa.</w:t>
            </w:r>
          </w:p>
        </w:tc>
        <w:tc>
          <w:tcPr>
            <w:tcW w:w="2514" w:type="dxa"/>
          </w:tcPr>
          <w:p w14:paraId="5FA0371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poznate forme.</w:t>
            </w:r>
          </w:p>
        </w:tc>
        <w:tc>
          <w:tcPr>
            <w:tcW w:w="2654" w:type="dxa"/>
          </w:tcPr>
          <w:p w14:paraId="206E3284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otvorenog tipa.</w:t>
            </w:r>
          </w:p>
        </w:tc>
      </w:tr>
      <w:tr w14:paraId="7AA98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27BA980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pretpostavke o očekivanim rezultatima.</w:t>
            </w:r>
          </w:p>
          <w:p w14:paraId="5F0209D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6C40462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postavlja pretpostavke o očekivanim rezultatima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8D070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pomoć i relativno gotove pretpostavke o rezultatima, neke od pojašnjenih i pojednostavljenih postavlja samostalno.</w:t>
            </w:r>
          </w:p>
        </w:tc>
        <w:tc>
          <w:tcPr>
            <w:tcW w:w="2515" w:type="dxa"/>
          </w:tcPr>
          <w:p w14:paraId="3061E53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postavlja jednostavnije pretpostavke o očekivanim rezultatima.</w:t>
            </w:r>
          </w:p>
          <w:p w14:paraId="6F7AD385">
            <w:pPr>
              <w:spacing w:after="0" w:line="240" w:lineRule="auto"/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36A2DA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postavlja pretpostavke o očekivanim rezultatima.</w:t>
            </w:r>
          </w:p>
          <w:p w14:paraId="561190B9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20A9103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pretpostavke o očekivanim rezultatima.</w:t>
            </w:r>
          </w:p>
          <w:p w14:paraId="7AE9E95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14:paraId="6B893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7D0319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Planira istraživanje (na koji način doći do odgovora).</w:t>
            </w:r>
          </w:p>
          <w:p w14:paraId="3CDB940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4ECBCFE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planira istraživanje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BF2A8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 u radu u paru ili s učiteljem , prema unaprijed dogovorenim jednostavnim smjernicama, planira glavne korake u jednostavnijem istraživanju, u skladu sa sposobnostima.</w:t>
            </w:r>
          </w:p>
        </w:tc>
        <w:tc>
          <w:tcPr>
            <w:tcW w:w="2515" w:type="dxa"/>
          </w:tcPr>
          <w:p w14:paraId="32AC49E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Planira istraživanje u malim, unaprijed dogovorenim spoznajnim koracima.</w:t>
            </w:r>
          </w:p>
        </w:tc>
        <w:tc>
          <w:tcPr>
            <w:tcW w:w="2514" w:type="dxa"/>
          </w:tcPr>
          <w:p w14:paraId="75F2360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Planira istraživanje, ali traži povratnu informaciju pri tome.</w:t>
            </w:r>
          </w:p>
        </w:tc>
        <w:tc>
          <w:tcPr>
            <w:tcW w:w="2654" w:type="dxa"/>
          </w:tcPr>
          <w:p w14:paraId="4A3EEFF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planira istraživanje uočavajući problem koji treba istražiti.</w:t>
            </w:r>
          </w:p>
        </w:tc>
      </w:tr>
      <w:tr w14:paraId="3B18C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1" w:type="dxa"/>
            <w:tcBorders>
              <w:right w:val="double" w:color="auto" w:sz="12" w:space="0"/>
            </w:tcBorders>
          </w:tcPr>
          <w:p w14:paraId="324D2A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Provodi jednostavna istraživanja i prikuplja podatke.</w:t>
            </w:r>
          </w:p>
          <w:p w14:paraId="71E7B602">
            <w:pPr>
              <w:pStyle w:val="11"/>
              <w:numPr>
                <w:ilvl w:val="0"/>
                <w:numId w:val="19"/>
              </w:numPr>
              <w:spacing w:after="0" w:line="240" w:lineRule="auto"/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Mjeri i očitava. </w:t>
            </w:r>
          </w:p>
          <w:p w14:paraId="49D1A922">
            <w:pPr>
              <w:pStyle w:val="11"/>
              <w:numPr>
                <w:ilvl w:val="0"/>
                <w:numId w:val="19"/>
              </w:numPr>
              <w:spacing w:after="0" w:line="240" w:lineRule="auto"/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analizira podatke. </w:t>
            </w:r>
          </w:p>
          <w:p w14:paraId="1F63C0CD">
            <w:pPr>
              <w:pStyle w:val="11"/>
              <w:numPr>
                <w:ilvl w:val="0"/>
                <w:numId w:val="19"/>
              </w:numPr>
              <w:spacing w:after="0" w:line="240" w:lineRule="auto"/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Zaključuje. </w:t>
            </w:r>
          </w:p>
          <w:p w14:paraId="4BDA6510">
            <w:pPr>
              <w:pStyle w:val="11"/>
              <w:numPr>
                <w:ilvl w:val="0"/>
                <w:numId w:val="19"/>
              </w:numPr>
              <w:spacing w:after="0" w:line="240" w:lineRule="auto"/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Provjerava i uočava pogreške.</w:t>
            </w:r>
          </w:p>
          <w:p w14:paraId="61D351C6">
            <w:pPr>
              <w:pStyle w:val="11"/>
              <w:numPr>
                <w:ilvl w:val="0"/>
                <w:numId w:val="19"/>
              </w:numPr>
              <w:spacing w:after="0" w:line="240" w:lineRule="auto"/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novi problem.</w:t>
            </w:r>
          </w:p>
          <w:p w14:paraId="28766A03">
            <w:pPr>
              <w:pStyle w:val="11"/>
              <w:numPr>
                <w:ilvl w:val="0"/>
                <w:numId w:val="19"/>
              </w:numPr>
              <w:spacing w:after="0" w:line="240" w:lineRule="auto"/>
              <w:ind w:left="462" w:hanging="425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Slijedi etape istraživačkoga pristupa.</w:t>
            </w:r>
          </w:p>
        </w:tc>
        <w:tc>
          <w:tcPr>
            <w:tcW w:w="2680" w:type="dxa"/>
            <w:tcBorders>
              <w:left w:val="double" w:color="auto" w:sz="12" w:space="0"/>
            </w:tcBorders>
          </w:tcPr>
          <w:p w14:paraId="61CDBCB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provodi jednostavna istraživanja i prikuplja podatke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CCDD18F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 istraživanju radi isključivo kao dio skupine pri čemu se oslanja na ostale članove. </w:t>
            </w:r>
          </w:p>
        </w:tc>
        <w:tc>
          <w:tcPr>
            <w:tcW w:w="2515" w:type="dxa"/>
          </w:tcPr>
          <w:p w14:paraId="6EED384F">
            <w:pPr>
              <w:spacing w:after="0" w:line="240" w:lineRule="auto"/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Sudjeluje u radu skupine, izvršava zadani zadatak uz češće traženje pomoći,  te se često oslanja na ostale članove skupine te samostalno ne pridonosi značajnim radom.</w:t>
            </w:r>
          </w:p>
        </w:tc>
        <w:tc>
          <w:tcPr>
            <w:tcW w:w="2514" w:type="dxa"/>
          </w:tcPr>
          <w:p w14:paraId="5E5F0E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Provodi jednostavna istraživanja i prikuplja podatke.</w:t>
            </w:r>
          </w:p>
          <w:p w14:paraId="7FCCCDFF">
            <w:pPr>
              <w:numPr>
                <w:ilvl w:val="0"/>
                <w:numId w:val="19"/>
              </w:numPr>
              <w:spacing w:after="0" w:line="240" w:lineRule="auto"/>
              <w:ind w:left="443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Mjeri i očitava. </w:t>
            </w:r>
          </w:p>
          <w:p w14:paraId="6F07B468">
            <w:pPr>
              <w:numPr>
                <w:ilvl w:val="0"/>
                <w:numId w:val="19"/>
              </w:numPr>
              <w:spacing w:after="0" w:line="240" w:lineRule="auto"/>
              <w:ind w:left="443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analizira podatke. </w:t>
            </w:r>
          </w:p>
          <w:p w14:paraId="15A0F4E4">
            <w:pPr>
              <w:numPr>
                <w:ilvl w:val="0"/>
                <w:numId w:val="19"/>
              </w:numPr>
              <w:spacing w:after="0" w:line="240" w:lineRule="auto"/>
              <w:ind w:left="443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Zaključuje. </w:t>
            </w:r>
          </w:p>
          <w:p w14:paraId="21AF926A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slijedi etape istraživačkoga pristupa.</w:t>
            </w:r>
          </w:p>
        </w:tc>
        <w:tc>
          <w:tcPr>
            <w:tcW w:w="2654" w:type="dxa"/>
          </w:tcPr>
          <w:p w14:paraId="4E1A9F0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Provodi jednostavna istraživanja i prikuplja podatke. Grupa se često oslanja na ovog učenika.</w:t>
            </w:r>
          </w:p>
          <w:p w14:paraId="6E54199F">
            <w:pPr>
              <w:numPr>
                <w:ilvl w:val="0"/>
                <w:numId w:val="19"/>
              </w:numPr>
              <w:spacing w:after="0" w:line="240" w:lineRule="auto"/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Mjeri i očitava. </w:t>
            </w:r>
          </w:p>
          <w:p w14:paraId="2B67E48B">
            <w:pPr>
              <w:numPr>
                <w:ilvl w:val="0"/>
                <w:numId w:val="19"/>
              </w:numPr>
              <w:spacing w:after="0" w:line="240" w:lineRule="auto"/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analizira podatke. </w:t>
            </w:r>
          </w:p>
          <w:p w14:paraId="4BB78508">
            <w:pPr>
              <w:numPr>
                <w:ilvl w:val="0"/>
                <w:numId w:val="19"/>
              </w:numPr>
              <w:spacing w:after="0" w:line="240" w:lineRule="auto"/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Zaključuje. </w:t>
            </w:r>
          </w:p>
          <w:p w14:paraId="5A776A42">
            <w:pPr>
              <w:numPr>
                <w:ilvl w:val="0"/>
                <w:numId w:val="19"/>
              </w:numPr>
              <w:spacing w:after="0" w:line="240" w:lineRule="auto"/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Provjerava i uočava pogreške.</w:t>
            </w:r>
          </w:p>
          <w:p w14:paraId="32344476">
            <w:pPr>
              <w:numPr>
                <w:ilvl w:val="0"/>
                <w:numId w:val="19"/>
              </w:numPr>
              <w:spacing w:after="0" w:line="240" w:lineRule="auto"/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novi problem.</w:t>
            </w:r>
          </w:p>
          <w:p w14:paraId="3447A1D9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Slijedi etape istraživačkoga pristupa.</w:t>
            </w:r>
          </w:p>
        </w:tc>
      </w:tr>
    </w:tbl>
    <w:p w14:paraId="0EA4B14E">
      <w:pPr>
        <w:rPr>
          <w:rFonts w:cstheme="minorHAnsi"/>
          <w:sz w:val="24"/>
        </w:rPr>
      </w:pPr>
    </w:p>
    <w:p w14:paraId="5F32C651">
      <w:pPr>
        <w:rPr>
          <w:rFonts w:cstheme="minorHAnsi"/>
        </w:rPr>
      </w:pPr>
    </w:p>
    <w:p w14:paraId="39EEE81E">
      <w:pPr>
        <w:rPr>
          <w:rFonts w:cstheme="minorHAnsi"/>
        </w:rPr>
      </w:pPr>
    </w:p>
    <w:p w14:paraId="1D4BA6CF">
      <w:pPr>
        <w:rPr>
          <w:rFonts w:cstheme="minorHAnsi"/>
        </w:rPr>
      </w:pPr>
    </w:p>
    <w:p w14:paraId="6988BDDD">
      <w:pPr>
        <w:rPr>
          <w:rFonts w:cstheme="minorHAnsi"/>
        </w:rPr>
      </w:pPr>
    </w:p>
    <w:p w14:paraId="211B130F">
      <w:pPr>
        <w:rPr>
          <w:rFonts w:cstheme="minorHAnsi"/>
        </w:rPr>
      </w:pPr>
    </w:p>
    <w:p w14:paraId="4FAAEC94">
      <w:pPr>
        <w:rPr>
          <w:rFonts w:cstheme="minorHAnsi"/>
        </w:rPr>
      </w:pPr>
    </w:p>
    <w:p w14:paraId="7E2B4263">
      <w:pPr>
        <w:rPr>
          <w:rFonts w:cstheme="minorHAnsi"/>
        </w:rPr>
      </w:pPr>
    </w:p>
    <w:p w14:paraId="5331D88A">
      <w:pPr>
        <w:rPr>
          <w:rFonts w:cstheme="minorHAnsi"/>
        </w:rPr>
      </w:pPr>
    </w:p>
    <w:p w14:paraId="39B3C638">
      <w:pPr>
        <w:rPr>
          <w:rFonts w:cstheme="minorHAnsi"/>
        </w:rPr>
      </w:pPr>
    </w:p>
    <w:p w14:paraId="5C22A3EC">
      <w:pPr>
        <w:rPr>
          <w:rFonts w:cstheme="minorHAnsi"/>
        </w:rPr>
      </w:pPr>
    </w:p>
    <w:p w14:paraId="18B35678">
      <w:pPr>
        <w:rPr>
          <w:rFonts w:cstheme="minorHAnsi"/>
        </w:rPr>
      </w:pPr>
    </w:p>
    <w:p w14:paraId="78E8D84B">
      <w:pPr>
        <w:rPr>
          <w:rFonts w:cstheme="minorHAnsi"/>
        </w:rPr>
      </w:pPr>
    </w:p>
    <w:p w14:paraId="09B9D4BC">
      <w:pPr>
        <w:rPr>
          <w:rFonts w:cstheme="minorHAnsi"/>
        </w:rPr>
      </w:pPr>
    </w:p>
    <w:p w14:paraId="0C68FF02">
      <w:pPr>
        <w:rPr>
          <w:rFonts w:cstheme="minorHAnsi"/>
        </w:rPr>
      </w:pPr>
    </w:p>
    <w:p w14:paraId="60C8B054">
      <w:pPr>
        <w:rPr>
          <w:rFonts w:cstheme="minorHAnsi"/>
        </w:rPr>
      </w:pPr>
    </w:p>
    <w:p w14:paraId="79667FCF">
      <w:pPr>
        <w:rPr>
          <w:rFonts w:cstheme="minorHAnsi"/>
        </w:rPr>
      </w:pPr>
    </w:p>
    <w:p w14:paraId="3337E0B0">
      <w:pPr>
        <w:rPr>
          <w:rFonts w:cstheme="minorHAnsi"/>
        </w:rPr>
      </w:pPr>
    </w:p>
    <w:p w14:paraId="56617474">
      <w:pPr>
        <w:rPr>
          <w:rFonts w:cstheme="minorHAnsi"/>
        </w:rPr>
      </w:pPr>
    </w:p>
    <w:p w14:paraId="7A4B19DA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NASTAVNI PREDMET:  TJELESNA I ZDRAVSTVENA KULTURA</w:t>
      </w:r>
    </w:p>
    <w:p w14:paraId="2E2BCB6A">
      <w:pPr>
        <w:jc w:val="center"/>
        <w:rPr>
          <w:rFonts w:cstheme="minorHAnsi"/>
          <w:b/>
          <w:sz w:val="28"/>
        </w:rPr>
      </w:pPr>
    </w:p>
    <w:p w14:paraId="612767DD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>
        <w:rPr>
          <w:rFonts w:eastAsia="Times New Roman" w:cstheme="minorHAnsi"/>
          <w:b/>
          <w:i/>
          <w:sz w:val="28"/>
          <w:szCs w:val="24"/>
          <w:lang w:eastAsia="hr-HR"/>
        </w:rPr>
        <w:t>Predmet Tjelesna i zdravstvena kultura sadrži četiri predmetna područja:</w:t>
      </w:r>
    </w:p>
    <w:p w14:paraId="3FC878A1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A) Kineziološka teorijska i motorička znanja (OŠ TZK A; SŠ TZK G A)</w:t>
      </w:r>
    </w:p>
    <w:p w14:paraId="08C88F2F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B) Morfološka obilježja, motoričke i funkcionalne sposobnosti (OŠ TZK B; SŠ TZK GB)</w:t>
      </w:r>
    </w:p>
    <w:p w14:paraId="1129B79F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C) Motorička postignuća (OŠ TZK C; SŠ TZK G C)</w:t>
      </w:r>
    </w:p>
    <w:p w14:paraId="0876156C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D) Zdravstveni i odgojni učinci tjelesnog vježbanja (OŠ TZK D; SŠ TZK G D)</w:t>
      </w:r>
    </w:p>
    <w:p w14:paraId="35208E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</w:p>
    <w:p w14:paraId="3D103BC7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i/>
          <w:sz w:val="28"/>
          <w:szCs w:val="24"/>
          <w:lang w:eastAsia="hr-HR"/>
        </w:rPr>
      </w:pPr>
      <w:r>
        <w:rPr>
          <w:rFonts w:eastAsia="Times New Roman" w:cstheme="minorHAnsi"/>
          <w:b/>
          <w:i/>
          <w:sz w:val="28"/>
          <w:szCs w:val="24"/>
          <w:lang w:eastAsia="hr-HR"/>
        </w:rPr>
        <w:t>Sadržaji praćenja i provjeravanja su:</w:t>
      </w:r>
    </w:p>
    <w:p w14:paraId="32D222B3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428A0BF6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44F9BB87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c) Morfološke značajke, motoričke i funkcionalne sposobnosti</w:t>
      </w:r>
    </w:p>
    <w:p w14:paraId="3B9BF7BF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d) Aktivnost učenika i odgojni učinci.</w:t>
      </w:r>
    </w:p>
    <w:p w14:paraId="697C1BB9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5940710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U Tjelesnoj i zdravstvenoj kulturi elementi ocjenjivanja koji se neposredno kriterijski ocjenjuju su:</w:t>
      </w:r>
    </w:p>
    <w:p w14:paraId="183D1E2B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7BBB1E6D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548B2E63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7A7F704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eastAsia="Times New Roman" w:cstheme="minorHAnsi"/>
          <w:i/>
          <w:sz w:val="24"/>
          <w:szCs w:val="24"/>
          <w:lang w:eastAsia="hr-HR"/>
        </w:rPr>
        <w:t>c) Aktivnost učenika i odgojni učinci.</w:t>
      </w:r>
    </w:p>
    <w:p w14:paraId="0603CF6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5B387A75">
      <w:pPr>
        <w:pStyle w:val="17"/>
        <w:textAlignment w:val="baseline"/>
        <w:rPr>
          <w:rStyle w:val="19"/>
          <w:rFonts w:asciiTheme="minorHAnsi" w:hAnsiTheme="minorHAnsi" w:cstheme="minorHAnsi"/>
          <w:b/>
          <w:sz w:val="28"/>
        </w:rPr>
      </w:pPr>
      <w:r>
        <w:rPr>
          <w:rStyle w:val="19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Fonts w:asciiTheme="minorHAnsi" w:hAnsiTheme="minorHAnsi" w:cstheme="minorHAnsi"/>
          <w:b/>
          <w:sz w:val="28"/>
        </w:rPr>
        <w:t>Tjelesnu i zdravstvenu kulturu</w:t>
      </w:r>
      <w:r>
        <w:rPr>
          <w:rStyle w:val="19"/>
          <w:rFonts w:asciiTheme="minorHAnsi" w:hAnsiTheme="minorHAnsi" w:cstheme="minorHAnsi"/>
          <w:b/>
          <w:sz w:val="28"/>
        </w:rPr>
        <w:t>.</w:t>
      </w:r>
    </w:p>
    <w:p w14:paraId="20BEC4C1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518EE951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7299B405">
      <w:pPr>
        <w:ind w:firstLine="360"/>
        <w:jc w:val="both"/>
        <w:rPr>
          <w:rStyle w:val="16"/>
          <w:rFonts w:cstheme="minorHAnsi"/>
          <w:sz w:val="24"/>
          <w:szCs w:val="24"/>
        </w:rPr>
      </w:pPr>
      <w:r>
        <w:rPr>
          <w:sz w:val="24"/>
          <w:szCs w:val="24"/>
        </w:rPr>
        <w:t xml:space="preserve">Kako je u nastavnom predmetu Tjelesna i zdravstvena kultura </w:t>
      </w:r>
      <w:r>
        <w:rPr>
          <w:rFonts w:cstheme="minorHAnsi"/>
          <w:sz w:val="24"/>
          <w:szCs w:val="24"/>
        </w:rPr>
        <w:t>rezultat rada uvelike ovisi o fizičkim karakteristikama učenika</w:t>
      </w:r>
      <w:r>
        <w:rPr>
          <w:sz w:val="24"/>
          <w:szCs w:val="24"/>
        </w:rPr>
        <w:t>, u praksi se pokazalo kako učenici os</w:t>
      </w:r>
      <w:r>
        <w:rPr>
          <w:rStyle w:val="16"/>
          <w:rFonts w:cstheme="minorHAnsi"/>
          <w:sz w:val="24"/>
          <w:szCs w:val="24"/>
        </w:rPr>
        <w:t>tvaruju zadane ishode na najmanjoj razini ocjene dobar te da je sve ispod te razine demotivirajuće za učenika.</w:t>
      </w:r>
    </w:p>
    <w:p w14:paraId="0D9C1DBA">
      <w:pPr>
        <w:ind w:firstLine="360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  <w:lang w:eastAsia="hr-HR"/>
        </w:rPr>
        <w:t>Zdravstveni i odgojni učinci tjelesnog vježbanja</w:t>
      </w:r>
      <w:r>
        <w:rPr>
          <w:rFonts w:eastAsia="Times New Roman" w:cstheme="minorHAnsi"/>
          <w:sz w:val="24"/>
          <w:szCs w:val="24"/>
          <w:lang w:eastAsia="hr-HR"/>
        </w:rPr>
        <w:t xml:space="preserve"> </w:t>
      </w:r>
      <w:r>
        <w:rPr>
          <w:rFonts w:cstheme="minorHAnsi"/>
          <w:sz w:val="24"/>
          <w:szCs w:val="24"/>
        </w:rPr>
        <w:t>u kojemu će se vrednovati učenički odnos prema aktivnosti i njihova uključenost u iste uvelike ovisi o osobnosti učenika te u tom predmetnom području učenik može ostvariti ocjene od odličan do nedovoljan.</w:t>
      </w:r>
    </w:p>
    <w:p w14:paraId="392D306D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tbl>
      <w:tblPr>
        <w:tblStyle w:val="13"/>
        <w:tblW w:w="15986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8"/>
        <w:gridCol w:w="2126"/>
        <w:gridCol w:w="1843"/>
        <w:gridCol w:w="425"/>
        <w:gridCol w:w="284"/>
        <w:gridCol w:w="2693"/>
        <w:gridCol w:w="992"/>
        <w:gridCol w:w="284"/>
        <w:gridCol w:w="1559"/>
        <w:gridCol w:w="2802"/>
      </w:tblGrid>
      <w:tr w14:paraId="5BB8F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6" w:type="dxa"/>
            <w:gridSpan w:val="10"/>
            <w:tcBorders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 w14:paraId="15A7A6DC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A: Kineziološka teorijska i motorička znanja</w:t>
            </w:r>
          </w:p>
        </w:tc>
      </w:tr>
      <w:tr w14:paraId="26D5D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6" w:type="dxa"/>
            <w:gridSpan w:val="10"/>
            <w:tcBorders>
              <w:right w:val="single" w:color="auto" w:sz="4" w:space="0"/>
            </w:tcBorders>
            <w:shd w:val="clear" w:color="auto" w:fill="DEEAF6" w:themeFill="accent1" w:themeFillTint="33"/>
            <w:vAlign w:val="center"/>
          </w:tcPr>
          <w:p w14:paraId="60F15EFC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A.3.1.  Usavršava prirodne načine gibanja.</w:t>
            </w:r>
          </w:p>
        </w:tc>
      </w:tr>
      <w:tr w14:paraId="531FD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7586D2A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4394" w:type="dxa"/>
            <w:gridSpan w:val="3"/>
            <w:tcBorders>
              <w:left w:val="double" w:color="auto" w:sz="12" w:space="0"/>
            </w:tcBorders>
          </w:tcPr>
          <w:p w14:paraId="504CAF6E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253" w:type="dxa"/>
            <w:gridSpan w:val="4"/>
          </w:tcPr>
          <w:p w14:paraId="28F2E98D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361" w:type="dxa"/>
            <w:gridSpan w:val="2"/>
          </w:tcPr>
          <w:p w14:paraId="09F690D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55D14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tcBorders>
              <w:right w:val="double" w:color="auto" w:sz="12" w:space="0"/>
            </w:tcBorders>
          </w:tcPr>
          <w:p w14:paraId="06BE11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Izvodi prilagođene prirodne načine gibanja temeljnih struktura.</w:t>
            </w:r>
          </w:p>
        </w:tc>
        <w:tc>
          <w:tcPr>
            <w:tcW w:w="4394" w:type="dxa"/>
            <w:gridSpan w:val="3"/>
          </w:tcPr>
          <w:p w14:paraId="44B742C0">
            <w:pPr>
              <w:spacing w:after="0" w:line="240" w:lineRule="auto"/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pravilno izvodi raznovrsne načine gibanja tijela u prostoru.</w:t>
            </w:r>
          </w:p>
        </w:tc>
        <w:tc>
          <w:tcPr>
            <w:tcW w:w="4253" w:type="dxa"/>
            <w:gridSpan w:val="4"/>
          </w:tcPr>
          <w:p w14:paraId="4588A3DB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korekcije od strane učitelja izvodi raznovrsne načine  gibanja tijela u prostoru.</w:t>
            </w:r>
          </w:p>
        </w:tc>
        <w:tc>
          <w:tcPr>
            <w:tcW w:w="4361" w:type="dxa"/>
            <w:gridSpan w:val="2"/>
          </w:tcPr>
          <w:p w14:paraId="2602D5D0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pravilno i motorički ispravno izvodi raznovrsne načine gibanja tijela u prostoru.</w:t>
            </w:r>
          </w:p>
        </w:tc>
      </w:tr>
      <w:tr w14:paraId="5763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6" w:type="dxa"/>
            <w:gridSpan w:val="10"/>
            <w:tcBorders>
              <w:top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vAlign w:val="center"/>
          </w:tcPr>
          <w:p w14:paraId="22C0BEC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A.3.2. Igra i razlikuje elementarne igre prema složenosti.</w:t>
            </w:r>
          </w:p>
        </w:tc>
      </w:tr>
      <w:tr w14:paraId="24F21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tcBorders>
              <w:top w:val="single" w:color="auto" w:sz="4" w:space="0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16DDAA81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3"/>
            <w:tcBorders>
              <w:top w:val="single" w:color="auto" w:sz="4" w:space="0"/>
              <w:left w:val="double" w:color="auto" w:sz="12" w:space="0"/>
            </w:tcBorders>
          </w:tcPr>
          <w:p w14:paraId="50E2DFD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</w:tcBorders>
          </w:tcPr>
          <w:p w14:paraId="2AB2382A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361" w:type="dxa"/>
            <w:gridSpan w:val="2"/>
            <w:tcBorders>
              <w:top w:val="single" w:color="auto" w:sz="4" w:space="0"/>
            </w:tcBorders>
          </w:tcPr>
          <w:p w14:paraId="12215CC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47107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tcBorders>
              <w:bottom w:val="nil"/>
              <w:right w:val="double" w:color="auto" w:sz="12" w:space="0"/>
            </w:tcBorders>
          </w:tcPr>
          <w:p w14:paraId="7595F3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vrste elementarnih igara prema složenosti.</w:t>
            </w:r>
          </w:p>
        </w:tc>
        <w:tc>
          <w:tcPr>
            <w:tcW w:w="4394" w:type="dxa"/>
            <w:gridSpan w:val="3"/>
            <w:tcBorders>
              <w:bottom w:val="nil"/>
            </w:tcBorders>
          </w:tcPr>
          <w:p w14:paraId="14B02D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razlikuje vrste elementarnih igara,  igre provodi uz dodatne upute.</w:t>
            </w:r>
          </w:p>
        </w:tc>
        <w:tc>
          <w:tcPr>
            <w:tcW w:w="4253" w:type="dxa"/>
            <w:gridSpan w:val="4"/>
            <w:tcBorders>
              <w:bottom w:val="nil"/>
            </w:tcBorders>
          </w:tcPr>
          <w:p w14:paraId="45D5E72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Igru provodi prema uputi razlikujući vrste elementarnih igara.</w:t>
            </w:r>
          </w:p>
        </w:tc>
        <w:tc>
          <w:tcPr>
            <w:tcW w:w="4361" w:type="dxa"/>
            <w:gridSpan w:val="2"/>
            <w:tcBorders>
              <w:bottom w:val="nil"/>
            </w:tcBorders>
          </w:tcPr>
          <w:p w14:paraId="3A115C5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 i primjenjuje pravila igre u potpunosti razlikujući vrste elementarnih igara.</w:t>
            </w:r>
          </w:p>
        </w:tc>
      </w:tr>
      <w:tr w14:paraId="24CC4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6" w:type="dxa"/>
            <w:gridSpan w:val="10"/>
            <w:tcBorders>
              <w:top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234B8F7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TZK A.3.3. Izvodi ritmičke i plesne strukture.</w:t>
            </w:r>
          </w:p>
        </w:tc>
      </w:tr>
      <w:tr w14:paraId="3EB40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tcBorders>
              <w:top w:val="single" w:color="auto" w:sz="4" w:space="0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4C983862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3"/>
            <w:tcBorders>
              <w:top w:val="single" w:color="auto" w:sz="4" w:space="0"/>
              <w:left w:val="double" w:color="auto" w:sz="12" w:space="0"/>
            </w:tcBorders>
          </w:tcPr>
          <w:p w14:paraId="06B7DE99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</w:tcBorders>
          </w:tcPr>
          <w:p w14:paraId="56E342A3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361" w:type="dxa"/>
            <w:gridSpan w:val="2"/>
            <w:tcBorders>
              <w:top w:val="single" w:color="auto" w:sz="4" w:space="0"/>
            </w:tcBorders>
          </w:tcPr>
          <w:p w14:paraId="678043C0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3F65C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tcBorders>
              <w:bottom w:val="nil"/>
              <w:right w:val="double" w:color="auto" w:sz="12" w:space="0"/>
            </w:tcBorders>
          </w:tcPr>
          <w:p w14:paraId="1AE7DA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izvodi ritmičke i plesne strukture.</w:t>
            </w:r>
          </w:p>
        </w:tc>
        <w:tc>
          <w:tcPr>
            <w:tcW w:w="4394" w:type="dxa"/>
            <w:gridSpan w:val="3"/>
            <w:tcBorders>
              <w:bottom w:val="nil"/>
            </w:tcBorders>
          </w:tcPr>
          <w:p w14:paraId="4BC6B8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česte korekcije i dodatne upute provodi ritmičke i plesne strukture.</w:t>
            </w:r>
          </w:p>
        </w:tc>
        <w:tc>
          <w:tcPr>
            <w:tcW w:w="4253" w:type="dxa"/>
            <w:gridSpan w:val="4"/>
            <w:tcBorders>
              <w:bottom w:val="nil"/>
            </w:tcBorders>
          </w:tcPr>
          <w:p w14:paraId="2194566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izvodi ritmičke i plesne strukture uz manje korekcije.</w:t>
            </w:r>
          </w:p>
        </w:tc>
        <w:tc>
          <w:tcPr>
            <w:tcW w:w="4361" w:type="dxa"/>
            <w:gridSpan w:val="2"/>
            <w:tcBorders>
              <w:bottom w:val="nil"/>
            </w:tcBorders>
          </w:tcPr>
          <w:p w14:paraId="52C3DF9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Skladno, ritmično i samostalno izvodi ritmičke i plesne strukture.</w:t>
            </w:r>
          </w:p>
        </w:tc>
      </w:tr>
      <w:tr w14:paraId="1D927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5DB255CD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  <w:t>Predmetno područje B: Morfološka obilježja, motoričke i funkcionalne sposobnosti</w:t>
            </w:r>
          </w:p>
        </w:tc>
      </w:tr>
      <w:tr w14:paraId="37983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6" w:type="dxa"/>
            <w:gridSpan w:val="10"/>
            <w:tcBorders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vAlign w:val="center"/>
          </w:tcPr>
          <w:p w14:paraId="03DD256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OŠ TZK B.3.1. Sudjeluje u provjeravanju morfoloških obilježja, motoričkih i funkcionalnih sposobnosti </w:t>
            </w:r>
          </w:p>
          <w:p w14:paraId="17EB43E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te procjeni pravilnoga tjelesnog držanja</w:t>
            </w:r>
          </w:p>
        </w:tc>
      </w:tr>
      <w:tr w14:paraId="021F8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6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B03F1D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</w:rPr>
              <w:t>RAZRADA ISHODA: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3D7859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morfološke značajke, motoričke i funkcionalne sposobnosti te važnost pravilnoga tjelesnog držanja.</w:t>
            </w:r>
          </w:p>
          <w:p w14:paraId="6633382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8330" w:type="dxa"/>
            <w:gridSpan w:val="5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5FDBBEE">
            <w:pPr>
              <w:spacing w:after="0" w:line="240" w:lineRule="auto"/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5FE4D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5E6EE8C6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C: Motorička postignuća</w:t>
            </w:r>
          </w:p>
        </w:tc>
      </w:tr>
      <w:tr w14:paraId="2819C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6" w:type="dxa"/>
            <w:gridSpan w:val="10"/>
            <w:tcBorders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vAlign w:val="center"/>
          </w:tcPr>
          <w:p w14:paraId="69A989D6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C.3.1. Prati osobna motorička postignuća.</w:t>
            </w:r>
          </w:p>
        </w:tc>
      </w:tr>
      <w:tr w14:paraId="6DD64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6" w:type="dxa"/>
            <w:gridSpan w:val="5"/>
            <w:tcBorders>
              <w:right w:val="single" w:color="auto" w:sz="4" w:space="0"/>
            </w:tcBorders>
          </w:tcPr>
          <w:p w14:paraId="1C8F6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</w:rPr>
              <w:t>RAZRADA ISHODA: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15B4B0C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Prati i uspoređuje osobna postignuća u svladanim obrazovnim sadržajima.</w:t>
            </w:r>
          </w:p>
          <w:p w14:paraId="0619411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8330" w:type="dxa"/>
            <w:gridSpan w:val="5"/>
            <w:tcBorders>
              <w:left w:val="single" w:color="auto" w:sz="4" w:space="0"/>
            </w:tcBorders>
            <w:vAlign w:val="center"/>
          </w:tcPr>
          <w:p w14:paraId="11E3DE5D">
            <w:pPr>
              <w:spacing w:after="0" w:line="240" w:lineRule="auto"/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00B58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57C376E8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D: Zdravstveni i odgojni učinci tjelesnog vježbanja</w:t>
            </w:r>
          </w:p>
        </w:tc>
      </w:tr>
      <w:tr w14:paraId="79394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6" w:type="dxa"/>
            <w:gridSpan w:val="10"/>
            <w:tcBorders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vAlign w:val="center"/>
          </w:tcPr>
          <w:p w14:paraId="4F5E8C4D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OŠ TZK D.3.1. Koristi osnovne kineziološke aktivnosti na otvorenim vježbalištima. </w:t>
            </w:r>
          </w:p>
        </w:tc>
      </w:tr>
      <w:tr w14:paraId="1809E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6" w:type="dxa"/>
            <w:gridSpan w:val="5"/>
            <w:tcBorders>
              <w:right w:val="single" w:color="auto" w:sz="4" w:space="0"/>
            </w:tcBorders>
          </w:tcPr>
          <w:p w14:paraId="7CB5FB0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b/>
                <w:sz w:val="24"/>
              </w:rPr>
              <w:t>RAZRADA ISHODA: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232F2F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Sudjeluje u tjelesnim aktivnostima na otvorenom ovisno o posebnostima zavičaja.</w:t>
            </w:r>
          </w:p>
          <w:p w14:paraId="61578BF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8330" w:type="dxa"/>
            <w:gridSpan w:val="5"/>
            <w:tcBorders>
              <w:left w:val="single" w:color="auto" w:sz="4" w:space="0"/>
            </w:tcBorders>
            <w:vAlign w:val="center"/>
          </w:tcPr>
          <w:p w14:paraId="76A0F5FD">
            <w:pPr>
              <w:spacing w:after="0" w:line="240" w:lineRule="auto"/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14:paraId="086B5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6" w:type="dxa"/>
            <w:gridSpan w:val="10"/>
            <w:tcBorders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62E50E88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D.3.2. Izvodi raznovrsne vježbe u svrhu poboljšanja sustava za kretanje.</w:t>
            </w:r>
          </w:p>
        </w:tc>
      </w:tr>
      <w:tr w14:paraId="6E1FF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tcBorders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6F94F03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3969" w:type="dxa"/>
            <w:gridSpan w:val="2"/>
            <w:tcBorders>
              <w:bottom w:val="single" w:color="auto" w:sz="4" w:space="0"/>
            </w:tcBorders>
          </w:tcPr>
          <w:p w14:paraId="3FD0EBFD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394" w:type="dxa"/>
            <w:gridSpan w:val="4"/>
            <w:tcBorders>
              <w:bottom w:val="single" w:color="auto" w:sz="4" w:space="0"/>
            </w:tcBorders>
          </w:tcPr>
          <w:p w14:paraId="4CFA19C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645" w:type="dxa"/>
            <w:gridSpan w:val="3"/>
            <w:tcBorders>
              <w:bottom w:val="single" w:color="auto" w:sz="4" w:space="0"/>
            </w:tcBorders>
          </w:tcPr>
          <w:p w14:paraId="31BB00F1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ODLIČAN</w:t>
            </w:r>
          </w:p>
        </w:tc>
      </w:tr>
      <w:tr w14:paraId="4BD53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tcBorders>
              <w:bottom w:val="single" w:color="auto" w:sz="4" w:space="0"/>
              <w:right w:val="double" w:color="auto" w:sz="12" w:space="0"/>
            </w:tcBorders>
          </w:tcPr>
          <w:p w14:paraId="5AB0510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Usavršava jednostavne vježbe za poboljšanje sustava za kretanje.</w:t>
            </w:r>
          </w:p>
        </w:tc>
        <w:tc>
          <w:tcPr>
            <w:tcW w:w="3969" w:type="dxa"/>
            <w:gridSpan w:val="2"/>
            <w:tcBorders>
              <w:bottom w:val="single" w:color="auto" w:sz="4" w:space="0"/>
            </w:tcBorders>
          </w:tcPr>
          <w:p w14:paraId="3920F92B">
            <w:pPr>
              <w:spacing w:after="0" w:line="240" w:lineRule="auto"/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Izvodi jednostavne vježbe za poboljšanje sustava za kretanje.</w:t>
            </w:r>
          </w:p>
        </w:tc>
        <w:tc>
          <w:tcPr>
            <w:tcW w:w="4394" w:type="dxa"/>
            <w:gridSpan w:val="4"/>
            <w:tcBorders>
              <w:bottom w:val="single" w:color="auto" w:sz="4" w:space="0"/>
            </w:tcBorders>
          </w:tcPr>
          <w:p w14:paraId="4103C3FB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Usavršava jednostavne vježbe za poboljšanje sustava za kretanje.</w:t>
            </w:r>
          </w:p>
        </w:tc>
        <w:tc>
          <w:tcPr>
            <w:tcW w:w="4645" w:type="dxa"/>
            <w:gridSpan w:val="3"/>
            <w:tcBorders>
              <w:bottom w:val="single" w:color="auto" w:sz="4" w:space="0"/>
            </w:tcBorders>
          </w:tcPr>
          <w:p w14:paraId="48825A76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Usavršava vježbe za poboljšanje sustava za kretanje.</w:t>
            </w:r>
          </w:p>
        </w:tc>
      </w:tr>
      <w:tr w14:paraId="50D61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6" w:type="dxa"/>
            <w:gridSpan w:val="10"/>
            <w:tcBorders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14:paraId="33A80BB6">
            <w:pPr>
              <w:spacing w:after="0" w:line="240" w:lineRule="auto"/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D.3.3. Surađuje sa suigračima i poštuje pravila igre.</w:t>
            </w:r>
          </w:p>
        </w:tc>
      </w:tr>
      <w:tr w14:paraId="4E8DE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tcBorders>
              <w:top w:val="nil"/>
              <w:bottom w:val="single" w:color="auto" w:sz="4" w:space="0"/>
              <w:right w:val="double" w:color="auto" w:sz="12" w:space="0"/>
            </w:tcBorders>
            <w:shd w:val="clear" w:color="auto" w:fill="DEEAF6" w:themeFill="accent1" w:themeFillTint="33"/>
          </w:tcPr>
          <w:p w14:paraId="3F3B080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color="auto" w:sz="12" w:space="0"/>
              <w:bottom w:val="single" w:color="auto" w:sz="4" w:space="0"/>
            </w:tcBorders>
          </w:tcPr>
          <w:p w14:paraId="56AFA9A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color="auto" w:sz="4" w:space="0"/>
            </w:tcBorders>
          </w:tcPr>
          <w:p w14:paraId="2C0CD6A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tcBorders>
              <w:bottom w:val="single" w:color="auto" w:sz="4" w:space="0"/>
            </w:tcBorders>
          </w:tcPr>
          <w:p w14:paraId="0393436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3"/>
            <w:tcBorders>
              <w:bottom w:val="single" w:color="auto" w:sz="4" w:space="0"/>
            </w:tcBorders>
          </w:tcPr>
          <w:p w14:paraId="438D5029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color="auto" w:sz="4" w:space="0"/>
            </w:tcBorders>
          </w:tcPr>
          <w:p w14:paraId="1F48FFE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14:paraId="35525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tcBorders>
              <w:bottom w:val="single" w:color="auto" w:sz="4" w:space="0"/>
              <w:right w:val="double" w:color="auto" w:sz="12" w:space="0"/>
            </w:tcBorders>
          </w:tcPr>
          <w:p w14:paraId="27D3167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Surađuje tijekom igre i prihvaća pravila igre.</w:t>
            </w:r>
          </w:p>
        </w:tc>
        <w:tc>
          <w:tcPr>
            <w:tcW w:w="2126" w:type="dxa"/>
            <w:tcBorders>
              <w:left w:val="double" w:color="auto" w:sz="12" w:space="0"/>
              <w:bottom w:val="single" w:color="auto" w:sz="4" w:space="0"/>
            </w:tcBorders>
          </w:tcPr>
          <w:p w14:paraId="6811086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shvaća pravila niti njihovu važnost u igri.</w:t>
            </w:r>
          </w:p>
        </w:tc>
        <w:tc>
          <w:tcPr>
            <w:tcW w:w="2552" w:type="dxa"/>
            <w:gridSpan w:val="3"/>
            <w:tcBorders>
              <w:bottom w:val="single" w:color="auto" w:sz="4" w:space="0"/>
            </w:tcBorders>
          </w:tcPr>
          <w:p w14:paraId="707B397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  <w:tcBorders>
              <w:bottom w:val="single" w:color="auto" w:sz="4" w:space="0"/>
            </w:tcBorders>
          </w:tcPr>
          <w:p w14:paraId="42588E5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3"/>
            <w:tcBorders>
              <w:bottom w:val="single" w:color="auto" w:sz="4" w:space="0"/>
            </w:tcBorders>
          </w:tcPr>
          <w:p w14:paraId="5A590F5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</w:p>
        </w:tc>
        <w:tc>
          <w:tcPr>
            <w:tcW w:w="2802" w:type="dxa"/>
            <w:tcBorders>
              <w:bottom w:val="single" w:color="auto" w:sz="4" w:space="0"/>
            </w:tcBorders>
          </w:tcPr>
          <w:p w14:paraId="25AE933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Prihvaća, slijedi i razumije postavljena pravila igre.</w:t>
            </w:r>
          </w:p>
        </w:tc>
      </w:tr>
    </w:tbl>
    <w:p w14:paraId="379B480A">
      <w:pPr>
        <w:rPr>
          <w:rFonts w:cstheme="minorHAnsi"/>
          <w:b/>
          <w:sz w:val="24"/>
        </w:rPr>
      </w:pPr>
    </w:p>
    <w:p w14:paraId="1240776E">
      <w:pPr>
        <w:rPr>
          <w:rFonts w:cstheme="minorHAnsi"/>
          <w:b/>
          <w:sz w:val="24"/>
        </w:rPr>
      </w:pPr>
    </w:p>
    <w:p w14:paraId="34799F1B">
      <w:pPr>
        <w:rPr>
          <w:rFonts w:cstheme="minorHAnsi"/>
          <w:b/>
          <w:sz w:val="24"/>
        </w:rPr>
      </w:pPr>
    </w:p>
    <w:p w14:paraId="11025BA9">
      <w:pPr>
        <w:rPr>
          <w:rFonts w:cstheme="minorHAnsi"/>
          <w:b/>
          <w:sz w:val="24"/>
        </w:rPr>
      </w:pPr>
    </w:p>
    <w:p w14:paraId="1C212435">
      <w:pPr>
        <w:rPr>
          <w:rFonts w:cstheme="minorHAnsi"/>
          <w:b/>
          <w:sz w:val="24"/>
        </w:rPr>
      </w:pPr>
    </w:p>
    <w:p w14:paraId="705998E6">
      <w:pPr>
        <w:rPr>
          <w:rFonts w:cstheme="minorHAnsi"/>
          <w:b/>
          <w:sz w:val="24"/>
        </w:rPr>
      </w:pPr>
    </w:p>
    <w:p w14:paraId="480A7506">
      <w:pPr>
        <w:rPr>
          <w:rFonts w:cstheme="minorHAnsi"/>
          <w:b/>
          <w:sz w:val="24"/>
        </w:rPr>
      </w:pPr>
    </w:p>
    <w:p w14:paraId="0C00DB8E">
      <w:pPr>
        <w:rPr>
          <w:rFonts w:cstheme="minorHAnsi"/>
          <w:b/>
          <w:sz w:val="24"/>
        </w:rPr>
      </w:pPr>
    </w:p>
    <w:p w14:paraId="7415C437">
      <w:pPr>
        <w:rPr>
          <w:rFonts w:cstheme="minorHAnsi"/>
          <w:b/>
          <w:sz w:val="24"/>
        </w:rPr>
      </w:pPr>
    </w:p>
    <w:p w14:paraId="0B3D6D3D">
      <w:pPr>
        <w:rPr>
          <w:rFonts w:cstheme="minorHAnsi"/>
          <w:b/>
          <w:sz w:val="24"/>
        </w:rPr>
      </w:pPr>
    </w:p>
    <w:p w14:paraId="2D7BBF5C">
      <w:pPr>
        <w:rPr>
          <w:rFonts w:cstheme="minorHAnsi"/>
          <w:b/>
          <w:sz w:val="24"/>
        </w:rPr>
      </w:pPr>
    </w:p>
    <w:p w14:paraId="78592A15">
      <w:pPr>
        <w:rPr>
          <w:rFonts w:cstheme="minorHAnsi"/>
          <w:b/>
          <w:sz w:val="24"/>
        </w:rPr>
      </w:pPr>
    </w:p>
    <w:p w14:paraId="7B6FC070">
      <w:pPr>
        <w:rPr>
          <w:rFonts w:cstheme="minorHAnsi"/>
          <w:b/>
          <w:sz w:val="24"/>
        </w:rPr>
      </w:pPr>
    </w:p>
    <w:p w14:paraId="41D3AE68">
      <w:pPr>
        <w:rPr>
          <w:rFonts w:cstheme="minorHAnsi"/>
          <w:b/>
          <w:sz w:val="24"/>
        </w:rPr>
      </w:pPr>
    </w:p>
    <w:p w14:paraId="77AA9EC4">
      <w:pPr>
        <w:rPr>
          <w:rFonts w:cstheme="minorHAnsi"/>
          <w:b/>
          <w:sz w:val="24"/>
        </w:rPr>
      </w:pPr>
    </w:p>
    <w:sectPr>
      <w:pgSz w:w="16838" w:h="11906" w:orient="landscape"/>
      <w:pgMar w:top="709" w:right="1417" w:bottom="426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C060BE"/>
    <w:multiLevelType w:val="multilevel"/>
    <w:tmpl w:val="13C060BE"/>
    <w:lvl w:ilvl="0" w:tentative="0">
      <w:start w:val="1"/>
      <w:numFmt w:val="bullet"/>
      <w:lvlText w:val=""/>
      <w:lvlJc w:val="left"/>
      <w:pPr>
        <w:ind w:left="802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22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42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62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82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02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22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42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62" w:hanging="360"/>
      </w:pPr>
      <w:rPr>
        <w:rFonts w:hint="default" w:ascii="Wingdings" w:hAnsi="Wingdings"/>
      </w:rPr>
    </w:lvl>
  </w:abstractNum>
  <w:abstractNum w:abstractNumId="1">
    <w:nsid w:val="303C3C4D"/>
    <w:multiLevelType w:val="multilevel"/>
    <w:tmpl w:val="303C3C4D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3460018C"/>
    <w:multiLevelType w:val="multilevel"/>
    <w:tmpl w:val="3460018C"/>
    <w:lvl w:ilvl="0" w:tentative="0">
      <w:start w:val="1"/>
      <w:numFmt w:val="bullet"/>
      <w:lvlText w:val=""/>
      <w:lvlJc w:val="left"/>
      <w:pPr>
        <w:ind w:left="208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80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52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24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96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68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40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712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844" w:hanging="360"/>
      </w:pPr>
      <w:rPr>
        <w:rFonts w:hint="default" w:ascii="Wingdings" w:hAnsi="Wingdings"/>
      </w:rPr>
    </w:lvl>
  </w:abstractNum>
  <w:abstractNum w:abstractNumId="3">
    <w:nsid w:val="35681FD8"/>
    <w:multiLevelType w:val="multilevel"/>
    <w:tmpl w:val="35681FD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374F0A80"/>
    <w:multiLevelType w:val="multilevel"/>
    <w:tmpl w:val="374F0A8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3BA90078"/>
    <w:multiLevelType w:val="multilevel"/>
    <w:tmpl w:val="3BA90078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3BA97F29"/>
    <w:multiLevelType w:val="multilevel"/>
    <w:tmpl w:val="3BA97F29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40F079A2"/>
    <w:multiLevelType w:val="multilevel"/>
    <w:tmpl w:val="40F079A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422D701E"/>
    <w:multiLevelType w:val="multilevel"/>
    <w:tmpl w:val="422D701E"/>
    <w:lvl w:ilvl="0" w:tentative="0">
      <w:start w:val="1"/>
      <w:numFmt w:val="bullet"/>
      <w:lvlText w:val=""/>
      <w:lvlJc w:val="left"/>
      <w:pPr>
        <w:ind w:left="802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522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42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62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82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02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22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42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62" w:hanging="360"/>
      </w:pPr>
      <w:rPr>
        <w:rFonts w:hint="default" w:ascii="Wingdings" w:hAnsi="Wingdings"/>
      </w:rPr>
    </w:lvl>
  </w:abstractNum>
  <w:abstractNum w:abstractNumId="9">
    <w:nsid w:val="45EC3961"/>
    <w:multiLevelType w:val="multilevel"/>
    <w:tmpl w:val="45EC3961"/>
    <w:lvl w:ilvl="0" w:tentative="0">
      <w:start w:val="1"/>
      <w:numFmt w:val="bullet"/>
      <w:lvlText w:val="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>
    <w:nsid w:val="4CDE143E"/>
    <w:multiLevelType w:val="multilevel"/>
    <w:tmpl w:val="4CDE143E"/>
    <w:lvl w:ilvl="0" w:tentative="0">
      <w:start w:val="1"/>
      <w:numFmt w:val="bullet"/>
      <w:lvlText w:val=""/>
      <w:lvlJc w:val="left"/>
      <w:pPr>
        <w:ind w:left="802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522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42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62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82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02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22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42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62" w:hanging="360"/>
      </w:pPr>
      <w:rPr>
        <w:rFonts w:hint="default" w:ascii="Wingdings" w:hAnsi="Wingdings"/>
      </w:rPr>
    </w:lvl>
  </w:abstractNum>
  <w:abstractNum w:abstractNumId="11">
    <w:nsid w:val="4E02667D"/>
    <w:multiLevelType w:val="multilevel"/>
    <w:tmpl w:val="4E02667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59167088"/>
    <w:multiLevelType w:val="multilevel"/>
    <w:tmpl w:val="59167088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5D6415A2"/>
    <w:multiLevelType w:val="multilevel"/>
    <w:tmpl w:val="5D6415A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nsid w:val="6E156B7A"/>
    <w:multiLevelType w:val="multilevel"/>
    <w:tmpl w:val="6E156B7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6ED70EAD"/>
    <w:multiLevelType w:val="multilevel"/>
    <w:tmpl w:val="6ED70EAD"/>
    <w:lvl w:ilvl="0" w:tentative="0">
      <w:start w:val="1"/>
      <w:numFmt w:val="bullet"/>
      <w:lvlText w:val=""/>
      <w:lvlJc w:val="left"/>
      <w:pPr>
        <w:ind w:left="802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522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42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62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82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02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22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42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62" w:hanging="360"/>
      </w:pPr>
      <w:rPr>
        <w:rFonts w:hint="default" w:ascii="Wingdings" w:hAnsi="Wingdings"/>
      </w:rPr>
    </w:lvl>
  </w:abstractNum>
  <w:abstractNum w:abstractNumId="16">
    <w:nsid w:val="701F3827"/>
    <w:multiLevelType w:val="multilevel"/>
    <w:tmpl w:val="701F382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73635B3F"/>
    <w:multiLevelType w:val="multilevel"/>
    <w:tmpl w:val="73635B3F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>
    <w:nsid w:val="799644E1"/>
    <w:multiLevelType w:val="multilevel"/>
    <w:tmpl w:val="799644E1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13"/>
  </w:num>
  <w:num w:numId="5">
    <w:abstractNumId w:val="16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12"/>
  </w:num>
  <w:num w:numId="11">
    <w:abstractNumId w:val="14"/>
  </w:num>
  <w:num w:numId="12">
    <w:abstractNumId w:val="0"/>
  </w:num>
  <w:num w:numId="13">
    <w:abstractNumId w:val="15"/>
  </w:num>
  <w:num w:numId="14">
    <w:abstractNumId w:val="10"/>
  </w:num>
  <w:num w:numId="15">
    <w:abstractNumId w:val="8"/>
  </w:num>
  <w:num w:numId="16">
    <w:abstractNumId w:val="2"/>
  </w:num>
  <w:num w:numId="17">
    <w:abstractNumId w:val="17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B6C"/>
    <w:rsid w:val="00015087"/>
    <w:rsid w:val="00021C64"/>
    <w:rsid w:val="000246AD"/>
    <w:rsid w:val="00030D87"/>
    <w:rsid w:val="00035D87"/>
    <w:rsid w:val="00040585"/>
    <w:rsid w:val="00042FC7"/>
    <w:rsid w:val="00044158"/>
    <w:rsid w:val="00051550"/>
    <w:rsid w:val="00052768"/>
    <w:rsid w:val="00055FBB"/>
    <w:rsid w:val="00063DA5"/>
    <w:rsid w:val="00065D9E"/>
    <w:rsid w:val="00066407"/>
    <w:rsid w:val="000716B5"/>
    <w:rsid w:val="000754B4"/>
    <w:rsid w:val="00083DA9"/>
    <w:rsid w:val="0009350E"/>
    <w:rsid w:val="000948DA"/>
    <w:rsid w:val="000B3F8E"/>
    <w:rsid w:val="000B7CF2"/>
    <w:rsid w:val="000C64DC"/>
    <w:rsid w:val="000C6CDF"/>
    <w:rsid w:val="000D0D37"/>
    <w:rsid w:val="000D3E34"/>
    <w:rsid w:val="000E438A"/>
    <w:rsid w:val="000E7DC9"/>
    <w:rsid w:val="000F1709"/>
    <w:rsid w:val="000F1E6D"/>
    <w:rsid w:val="000F3B9A"/>
    <w:rsid w:val="00101910"/>
    <w:rsid w:val="00115217"/>
    <w:rsid w:val="0011609C"/>
    <w:rsid w:val="001301DD"/>
    <w:rsid w:val="00136AE8"/>
    <w:rsid w:val="00163833"/>
    <w:rsid w:val="00165D9C"/>
    <w:rsid w:val="00170F8F"/>
    <w:rsid w:val="00171F1A"/>
    <w:rsid w:val="001913E6"/>
    <w:rsid w:val="00192BFB"/>
    <w:rsid w:val="00193C3B"/>
    <w:rsid w:val="00195671"/>
    <w:rsid w:val="00196D11"/>
    <w:rsid w:val="001B0479"/>
    <w:rsid w:val="001B1AA7"/>
    <w:rsid w:val="001B2564"/>
    <w:rsid w:val="001B34CF"/>
    <w:rsid w:val="001B4033"/>
    <w:rsid w:val="001B68A1"/>
    <w:rsid w:val="001B7D64"/>
    <w:rsid w:val="001C1575"/>
    <w:rsid w:val="001C372C"/>
    <w:rsid w:val="001C7949"/>
    <w:rsid w:val="001D1F3C"/>
    <w:rsid w:val="001D3B6E"/>
    <w:rsid w:val="001D6210"/>
    <w:rsid w:val="001F3BB2"/>
    <w:rsid w:val="001F57F9"/>
    <w:rsid w:val="001F6346"/>
    <w:rsid w:val="00203F61"/>
    <w:rsid w:val="00204968"/>
    <w:rsid w:val="002069BF"/>
    <w:rsid w:val="00217138"/>
    <w:rsid w:val="00226330"/>
    <w:rsid w:val="00234ABF"/>
    <w:rsid w:val="00237ACE"/>
    <w:rsid w:val="00243004"/>
    <w:rsid w:val="0027145F"/>
    <w:rsid w:val="00274436"/>
    <w:rsid w:val="00276A25"/>
    <w:rsid w:val="00280DFB"/>
    <w:rsid w:val="002815FE"/>
    <w:rsid w:val="002827B4"/>
    <w:rsid w:val="002919F9"/>
    <w:rsid w:val="00293366"/>
    <w:rsid w:val="002B2629"/>
    <w:rsid w:val="002B3BBB"/>
    <w:rsid w:val="002B68EF"/>
    <w:rsid w:val="002B6CB3"/>
    <w:rsid w:val="002D1638"/>
    <w:rsid w:val="002E4718"/>
    <w:rsid w:val="002F0F76"/>
    <w:rsid w:val="003003B2"/>
    <w:rsid w:val="00304920"/>
    <w:rsid w:val="0030499F"/>
    <w:rsid w:val="00307291"/>
    <w:rsid w:val="0030731A"/>
    <w:rsid w:val="0033256D"/>
    <w:rsid w:val="00336E96"/>
    <w:rsid w:val="003474BA"/>
    <w:rsid w:val="003540C4"/>
    <w:rsid w:val="00355D06"/>
    <w:rsid w:val="00357C28"/>
    <w:rsid w:val="00363033"/>
    <w:rsid w:val="00363518"/>
    <w:rsid w:val="00363B5C"/>
    <w:rsid w:val="00363BD1"/>
    <w:rsid w:val="00370012"/>
    <w:rsid w:val="00371DDF"/>
    <w:rsid w:val="00381332"/>
    <w:rsid w:val="003928E1"/>
    <w:rsid w:val="00394D17"/>
    <w:rsid w:val="00397E57"/>
    <w:rsid w:val="003A747B"/>
    <w:rsid w:val="003B7DD1"/>
    <w:rsid w:val="003C0BB7"/>
    <w:rsid w:val="003C7B55"/>
    <w:rsid w:val="003D07A4"/>
    <w:rsid w:val="003D08D4"/>
    <w:rsid w:val="003D369E"/>
    <w:rsid w:val="003D5CB0"/>
    <w:rsid w:val="003D632B"/>
    <w:rsid w:val="003E32F7"/>
    <w:rsid w:val="003E463A"/>
    <w:rsid w:val="003E7217"/>
    <w:rsid w:val="003F09BD"/>
    <w:rsid w:val="003F58AB"/>
    <w:rsid w:val="00405984"/>
    <w:rsid w:val="00423C9B"/>
    <w:rsid w:val="00426538"/>
    <w:rsid w:val="00431946"/>
    <w:rsid w:val="004401CB"/>
    <w:rsid w:val="00440A42"/>
    <w:rsid w:val="00444137"/>
    <w:rsid w:val="00445146"/>
    <w:rsid w:val="00447980"/>
    <w:rsid w:val="004635F9"/>
    <w:rsid w:val="0046443D"/>
    <w:rsid w:val="004663EB"/>
    <w:rsid w:val="00487293"/>
    <w:rsid w:val="00490F54"/>
    <w:rsid w:val="00493BE8"/>
    <w:rsid w:val="0049662D"/>
    <w:rsid w:val="004967B7"/>
    <w:rsid w:val="00496944"/>
    <w:rsid w:val="004C07AD"/>
    <w:rsid w:val="004C3BF7"/>
    <w:rsid w:val="004D0230"/>
    <w:rsid w:val="004D2EDD"/>
    <w:rsid w:val="004F6448"/>
    <w:rsid w:val="004F7B0B"/>
    <w:rsid w:val="0050031C"/>
    <w:rsid w:val="00503C85"/>
    <w:rsid w:val="005122F5"/>
    <w:rsid w:val="00525FBA"/>
    <w:rsid w:val="005435C9"/>
    <w:rsid w:val="00573BBF"/>
    <w:rsid w:val="005749BF"/>
    <w:rsid w:val="00581237"/>
    <w:rsid w:val="00591107"/>
    <w:rsid w:val="005937D0"/>
    <w:rsid w:val="00595ECC"/>
    <w:rsid w:val="005B7286"/>
    <w:rsid w:val="005C0D72"/>
    <w:rsid w:val="005C2F05"/>
    <w:rsid w:val="005D4BD2"/>
    <w:rsid w:val="005D54BB"/>
    <w:rsid w:val="005E455F"/>
    <w:rsid w:val="005F1F67"/>
    <w:rsid w:val="00600A20"/>
    <w:rsid w:val="006033C3"/>
    <w:rsid w:val="00614DA8"/>
    <w:rsid w:val="00617439"/>
    <w:rsid w:val="006219C8"/>
    <w:rsid w:val="00621A3B"/>
    <w:rsid w:val="006239EA"/>
    <w:rsid w:val="006414AD"/>
    <w:rsid w:val="00644348"/>
    <w:rsid w:val="0064653A"/>
    <w:rsid w:val="006500F1"/>
    <w:rsid w:val="00654FE8"/>
    <w:rsid w:val="0065736B"/>
    <w:rsid w:val="006634E9"/>
    <w:rsid w:val="00683694"/>
    <w:rsid w:val="006847AE"/>
    <w:rsid w:val="006A6B48"/>
    <w:rsid w:val="006B0974"/>
    <w:rsid w:val="006B78E1"/>
    <w:rsid w:val="006C5711"/>
    <w:rsid w:val="006D0648"/>
    <w:rsid w:val="006D0820"/>
    <w:rsid w:val="006D0BC6"/>
    <w:rsid w:val="006D1F57"/>
    <w:rsid w:val="006D70D8"/>
    <w:rsid w:val="006D7593"/>
    <w:rsid w:val="006E15FD"/>
    <w:rsid w:val="006E4BA9"/>
    <w:rsid w:val="006E56F9"/>
    <w:rsid w:val="006E7207"/>
    <w:rsid w:val="00705E25"/>
    <w:rsid w:val="0070655E"/>
    <w:rsid w:val="00722CCD"/>
    <w:rsid w:val="00724804"/>
    <w:rsid w:val="007257D0"/>
    <w:rsid w:val="00726A0A"/>
    <w:rsid w:val="00731162"/>
    <w:rsid w:val="007319DD"/>
    <w:rsid w:val="007329B7"/>
    <w:rsid w:val="007360FB"/>
    <w:rsid w:val="0073684F"/>
    <w:rsid w:val="007430F4"/>
    <w:rsid w:val="00744C0E"/>
    <w:rsid w:val="00744EEF"/>
    <w:rsid w:val="0075673F"/>
    <w:rsid w:val="007608FE"/>
    <w:rsid w:val="00764A47"/>
    <w:rsid w:val="00776309"/>
    <w:rsid w:val="00780A09"/>
    <w:rsid w:val="007823D1"/>
    <w:rsid w:val="00786248"/>
    <w:rsid w:val="00794F24"/>
    <w:rsid w:val="0079600A"/>
    <w:rsid w:val="007A022C"/>
    <w:rsid w:val="007A4C51"/>
    <w:rsid w:val="007B25EA"/>
    <w:rsid w:val="007B3F15"/>
    <w:rsid w:val="007D4196"/>
    <w:rsid w:val="007D54A2"/>
    <w:rsid w:val="007D6E6B"/>
    <w:rsid w:val="007D795C"/>
    <w:rsid w:val="007E45DA"/>
    <w:rsid w:val="007F1F86"/>
    <w:rsid w:val="007F550C"/>
    <w:rsid w:val="00804644"/>
    <w:rsid w:val="008128FE"/>
    <w:rsid w:val="00814D1D"/>
    <w:rsid w:val="0081702E"/>
    <w:rsid w:val="00820633"/>
    <w:rsid w:val="00823046"/>
    <w:rsid w:val="00826F24"/>
    <w:rsid w:val="008339C8"/>
    <w:rsid w:val="00835D2A"/>
    <w:rsid w:val="00843629"/>
    <w:rsid w:val="00843F9B"/>
    <w:rsid w:val="00844408"/>
    <w:rsid w:val="00852349"/>
    <w:rsid w:val="00856D7A"/>
    <w:rsid w:val="00862F17"/>
    <w:rsid w:val="008B1F92"/>
    <w:rsid w:val="008B5F3D"/>
    <w:rsid w:val="008C23E6"/>
    <w:rsid w:val="008C33E4"/>
    <w:rsid w:val="008C61B2"/>
    <w:rsid w:val="008D3CFC"/>
    <w:rsid w:val="008D4754"/>
    <w:rsid w:val="008D51F4"/>
    <w:rsid w:val="008E0AC6"/>
    <w:rsid w:val="008E1353"/>
    <w:rsid w:val="008E203A"/>
    <w:rsid w:val="008E2413"/>
    <w:rsid w:val="008E3929"/>
    <w:rsid w:val="008E3E80"/>
    <w:rsid w:val="008E5FB3"/>
    <w:rsid w:val="00902B53"/>
    <w:rsid w:val="00902BB8"/>
    <w:rsid w:val="00904D38"/>
    <w:rsid w:val="00904F54"/>
    <w:rsid w:val="009162E1"/>
    <w:rsid w:val="009276E5"/>
    <w:rsid w:val="0093002C"/>
    <w:rsid w:val="00931AE0"/>
    <w:rsid w:val="00933AD7"/>
    <w:rsid w:val="009352E7"/>
    <w:rsid w:val="00937612"/>
    <w:rsid w:val="009438DD"/>
    <w:rsid w:val="00944349"/>
    <w:rsid w:val="00944E13"/>
    <w:rsid w:val="00947942"/>
    <w:rsid w:val="00966C8B"/>
    <w:rsid w:val="0097284D"/>
    <w:rsid w:val="0097389E"/>
    <w:rsid w:val="00974A29"/>
    <w:rsid w:val="009768BD"/>
    <w:rsid w:val="009778EA"/>
    <w:rsid w:val="00997EE6"/>
    <w:rsid w:val="009A0882"/>
    <w:rsid w:val="009A4737"/>
    <w:rsid w:val="009A5D71"/>
    <w:rsid w:val="009C1165"/>
    <w:rsid w:val="009C5D58"/>
    <w:rsid w:val="009C6C02"/>
    <w:rsid w:val="009E1692"/>
    <w:rsid w:val="009E50F5"/>
    <w:rsid w:val="009F4B27"/>
    <w:rsid w:val="009F69C4"/>
    <w:rsid w:val="00A01674"/>
    <w:rsid w:val="00A075D0"/>
    <w:rsid w:val="00A229B3"/>
    <w:rsid w:val="00A22C48"/>
    <w:rsid w:val="00A27F2F"/>
    <w:rsid w:val="00A53620"/>
    <w:rsid w:val="00A61CF5"/>
    <w:rsid w:val="00A624B6"/>
    <w:rsid w:val="00A721FF"/>
    <w:rsid w:val="00A7440C"/>
    <w:rsid w:val="00A86364"/>
    <w:rsid w:val="00A94133"/>
    <w:rsid w:val="00A954A7"/>
    <w:rsid w:val="00A95D50"/>
    <w:rsid w:val="00AA017F"/>
    <w:rsid w:val="00AA122A"/>
    <w:rsid w:val="00AA1A8C"/>
    <w:rsid w:val="00AA672C"/>
    <w:rsid w:val="00AB3B6C"/>
    <w:rsid w:val="00AC2980"/>
    <w:rsid w:val="00AC7E7E"/>
    <w:rsid w:val="00AE5867"/>
    <w:rsid w:val="00AF0116"/>
    <w:rsid w:val="00B01361"/>
    <w:rsid w:val="00B04F7E"/>
    <w:rsid w:val="00B141B1"/>
    <w:rsid w:val="00B332B4"/>
    <w:rsid w:val="00B4176C"/>
    <w:rsid w:val="00B47EF3"/>
    <w:rsid w:val="00B5015E"/>
    <w:rsid w:val="00B50929"/>
    <w:rsid w:val="00B51057"/>
    <w:rsid w:val="00B52EDE"/>
    <w:rsid w:val="00B56C30"/>
    <w:rsid w:val="00B5702F"/>
    <w:rsid w:val="00B604DC"/>
    <w:rsid w:val="00B6051A"/>
    <w:rsid w:val="00B71663"/>
    <w:rsid w:val="00B750D0"/>
    <w:rsid w:val="00B771D3"/>
    <w:rsid w:val="00B77CF4"/>
    <w:rsid w:val="00B86A06"/>
    <w:rsid w:val="00B90871"/>
    <w:rsid w:val="00B94789"/>
    <w:rsid w:val="00BA222D"/>
    <w:rsid w:val="00BA36DA"/>
    <w:rsid w:val="00BA3E88"/>
    <w:rsid w:val="00BA6976"/>
    <w:rsid w:val="00BB18CC"/>
    <w:rsid w:val="00BB2F27"/>
    <w:rsid w:val="00BB778D"/>
    <w:rsid w:val="00BB7D26"/>
    <w:rsid w:val="00BC2A2E"/>
    <w:rsid w:val="00BC3749"/>
    <w:rsid w:val="00BD1B99"/>
    <w:rsid w:val="00BD5280"/>
    <w:rsid w:val="00BD5488"/>
    <w:rsid w:val="00BE2B88"/>
    <w:rsid w:val="00BE721D"/>
    <w:rsid w:val="00BF0FEB"/>
    <w:rsid w:val="00BF4827"/>
    <w:rsid w:val="00BF5AB9"/>
    <w:rsid w:val="00C06616"/>
    <w:rsid w:val="00C124A0"/>
    <w:rsid w:val="00C17C57"/>
    <w:rsid w:val="00C3200E"/>
    <w:rsid w:val="00C34203"/>
    <w:rsid w:val="00C41F0F"/>
    <w:rsid w:val="00C441F8"/>
    <w:rsid w:val="00C51F3B"/>
    <w:rsid w:val="00C618E8"/>
    <w:rsid w:val="00C66620"/>
    <w:rsid w:val="00C67FCD"/>
    <w:rsid w:val="00C74462"/>
    <w:rsid w:val="00C8062C"/>
    <w:rsid w:val="00C967A0"/>
    <w:rsid w:val="00CB21B1"/>
    <w:rsid w:val="00CC3D94"/>
    <w:rsid w:val="00CE3A92"/>
    <w:rsid w:val="00D03EF9"/>
    <w:rsid w:val="00D068A8"/>
    <w:rsid w:val="00D17A9C"/>
    <w:rsid w:val="00D20BAB"/>
    <w:rsid w:val="00D24996"/>
    <w:rsid w:val="00D34CF6"/>
    <w:rsid w:val="00D40501"/>
    <w:rsid w:val="00D42B7C"/>
    <w:rsid w:val="00D4456E"/>
    <w:rsid w:val="00D5055C"/>
    <w:rsid w:val="00D513F5"/>
    <w:rsid w:val="00D606DB"/>
    <w:rsid w:val="00D61FBF"/>
    <w:rsid w:val="00D70041"/>
    <w:rsid w:val="00D71D36"/>
    <w:rsid w:val="00D74C65"/>
    <w:rsid w:val="00D76E7E"/>
    <w:rsid w:val="00D82EC4"/>
    <w:rsid w:val="00D861B2"/>
    <w:rsid w:val="00DA2716"/>
    <w:rsid w:val="00DA507F"/>
    <w:rsid w:val="00DA7031"/>
    <w:rsid w:val="00DB1E3C"/>
    <w:rsid w:val="00DB29C9"/>
    <w:rsid w:val="00DB698F"/>
    <w:rsid w:val="00DC59BB"/>
    <w:rsid w:val="00DD02FE"/>
    <w:rsid w:val="00DE3AF1"/>
    <w:rsid w:val="00DF2A83"/>
    <w:rsid w:val="00DF6EB0"/>
    <w:rsid w:val="00E048B5"/>
    <w:rsid w:val="00E070C6"/>
    <w:rsid w:val="00E22465"/>
    <w:rsid w:val="00E2320D"/>
    <w:rsid w:val="00E4010F"/>
    <w:rsid w:val="00E401B9"/>
    <w:rsid w:val="00E408DA"/>
    <w:rsid w:val="00E44190"/>
    <w:rsid w:val="00E5463E"/>
    <w:rsid w:val="00E547F3"/>
    <w:rsid w:val="00E603C6"/>
    <w:rsid w:val="00E64D25"/>
    <w:rsid w:val="00E75999"/>
    <w:rsid w:val="00E76F11"/>
    <w:rsid w:val="00E914E4"/>
    <w:rsid w:val="00E94CB5"/>
    <w:rsid w:val="00EA25E2"/>
    <w:rsid w:val="00EC0158"/>
    <w:rsid w:val="00ED61E3"/>
    <w:rsid w:val="00ED686E"/>
    <w:rsid w:val="00ED7304"/>
    <w:rsid w:val="00EE4AFF"/>
    <w:rsid w:val="00EF1249"/>
    <w:rsid w:val="00EF3876"/>
    <w:rsid w:val="00EF5496"/>
    <w:rsid w:val="00F047B0"/>
    <w:rsid w:val="00F10C3B"/>
    <w:rsid w:val="00F11572"/>
    <w:rsid w:val="00F245A1"/>
    <w:rsid w:val="00F27817"/>
    <w:rsid w:val="00F52E02"/>
    <w:rsid w:val="00F65693"/>
    <w:rsid w:val="00F706FF"/>
    <w:rsid w:val="00F756BA"/>
    <w:rsid w:val="00F80C9D"/>
    <w:rsid w:val="00F9293F"/>
    <w:rsid w:val="00F93520"/>
    <w:rsid w:val="00F94148"/>
    <w:rsid w:val="00FA2201"/>
    <w:rsid w:val="00FB2067"/>
    <w:rsid w:val="00FB608D"/>
    <w:rsid w:val="00FC16DA"/>
    <w:rsid w:val="00FC2844"/>
    <w:rsid w:val="00FD0FE9"/>
    <w:rsid w:val="00FD736F"/>
    <w:rsid w:val="00FE02F9"/>
    <w:rsid w:val="00FE5F2C"/>
    <w:rsid w:val="7354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header"/>
    <w:basedOn w:val="1"/>
    <w:link w:val="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7">
    <w:name w:val="Normal (Web)"/>
    <w:basedOn w:val="1"/>
    <w:unhideWhenUsed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table" w:styleId="8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Zaglavlje Char"/>
    <w:basedOn w:val="2"/>
    <w:link w:val="6"/>
    <w:qFormat/>
    <w:uiPriority w:val="99"/>
  </w:style>
  <w:style w:type="character" w:customStyle="1" w:styleId="10">
    <w:name w:val="Podnožje Char"/>
    <w:basedOn w:val="2"/>
    <w:link w:val="5"/>
    <w:qFormat/>
    <w:uiPriority w:val="99"/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Tekst balončića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table" w:customStyle="1" w:styleId="13">
    <w:name w:val="Table Grid1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box_459587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customStyle="1" w:styleId="15">
    <w:name w:val="box_459484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customStyle="1" w:styleId="16">
    <w:name w:val="kurziv"/>
    <w:basedOn w:val="2"/>
    <w:qFormat/>
    <w:uiPriority w:val="0"/>
  </w:style>
  <w:style w:type="paragraph" w:customStyle="1" w:styleId="17">
    <w:name w:val="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customStyle="1" w:styleId="18">
    <w:name w:val="normaltextrun"/>
    <w:basedOn w:val="2"/>
    <w:qFormat/>
    <w:uiPriority w:val="0"/>
  </w:style>
  <w:style w:type="character" w:customStyle="1" w:styleId="19">
    <w:name w:val="eop"/>
    <w:basedOn w:val="2"/>
    <w:qFormat/>
    <w:uiPriority w:val="0"/>
  </w:style>
  <w:style w:type="paragraph" w:customStyle="1" w:styleId="20">
    <w:name w:val="box_459469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customStyle="1" w:styleId="21">
    <w:name w:val="Default"/>
    <w:uiPriority w:val="99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Times New Roman"/>
      <w:color w:val="000000"/>
      <w:sz w:val="24"/>
      <w:szCs w:val="24"/>
      <w:lang w:val="hr-HR" w:eastAsia="en-US" w:bidi="ar-SA"/>
    </w:rPr>
  </w:style>
  <w:style w:type="paragraph" w:customStyle="1" w:styleId="22">
    <w:name w:val="box_459495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customStyle="1" w:styleId="23">
    <w:name w:val="box_459516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customStyle="1" w:styleId="24">
    <w:name w:val="t-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7B274F-6243-49D4-9EBA-C4B2DA8756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68</Pages>
  <Words>22263</Words>
  <Characters>142249</Characters>
  <Lines>1175</Lines>
  <Paragraphs>330</Paragraphs>
  <TotalTime>2</TotalTime>
  <ScaleCrop>false</ScaleCrop>
  <LinksUpToDate>false</LinksUpToDate>
  <CharactersWithSpaces>162654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2025-09-11T14:51:00Z</dcterms:created>
  <dc:creator>Vlatka</dc:creator>
  <cp:lastModifiedBy>Andrea Svirac</cp:lastModifiedBy>
  <cp:lastPrinted>2019-12-30T05:49:00Z</cp:lastPrinted>
  <dcterms:modified xsi:type="dcterms:W3CDTF">2026-09-07T12:32:51Z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eyJoZGlkIjoiYWZlMThiZmYyZjJhZTg1M2UzNjgwZTg4YjA5MzM1Y2YiLCJ1c2VySWQiOiIxMDAzMzA0OTI4MDUyMyJ9</vt:lpwstr>
  </property>
  <property fmtid="{D5CDD505-2E9C-101B-9397-08002B2CF9AE}" pid="3" name="KSOProductBuildVer">
    <vt:lpwstr>1033-12.1.0.28485</vt:lpwstr>
  </property>
  <property fmtid="{D5CDD505-2E9C-101B-9397-08002B2CF9AE}" pid="4" name="ICV">
    <vt:lpwstr>CEF827B357A74AE094B4DDDC9F42EB4B_12</vt:lpwstr>
  </property>
</Properties>
</file>