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AE72" w14:textId="3F3CC474" w:rsidR="00B750D0" w:rsidRDefault="00B750D0" w:rsidP="00C96D63">
      <w:pPr>
        <w:spacing w:after="0" w:line="240" w:lineRule="auto"/>
        <w:ind w:left="-426"/>
        <w:rPr>
          <w:rFonts w:cstheme="minorHAnsi"/>
          <w:b/>
          <w:sz w:val="32"/>
        </w:rPr>
      </w:pP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77777777"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D99B3D" w14:textId="6C8C0083" w:rsidR="006D0648" w:rsidRDefault="006D0648" w:rsidP="006D0648">
      <w:pPr>
        <w:rPr>
          <w:rFonts w:cstheme="minorHAnsi"/>
        </w:rPr>
      </w:pPr>
    </w:p>
    <w:p w14:paraId="65252450" w14:textId="04B3C8F3" w:rsidR="009162E1" w:rsidRPr="00904D38" w:rsidRDefault="009162E1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410A7D31"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="000C7DA9">
        <w:rPr>
          <w:rStyle w:val="eop"/>
          <w:rFonts w:asciiTheme="minorHAnsi" w:hAnsiTheme="minorHAnsi" w:cstheme="minorHAnsi"/>
          <w:b/>
          <w:sz w:val="28"/>
        </w:rPr>
        <w:t>Hrvatski jezik.</w:t>
      </w:r>
    </w:p>
    <w:p w14:paraId="245983AE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 xml:space="preserve">, djelomično upotrijebi neke nove riječi u skladu s temom ukoliko </w:t>
            </w:r>
            <w:r>
              <w:rPr>
                <w:rFonts w:cstheme="minorHAnsi"/>
                <w:sz w:val="24"/>
                <w:szCs w:val="24"/>
              </w:rPr>
              <w:lastRenderedPageBreak/>
              <w:t>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ListParagraph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mišljenje o slušanom tekstu često ponavljajući tuđa mišljenja,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slobodno odabranoj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djelomična uspješnost se postiže čineći navedeno prema zadanom predlošku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isto tako prepoznaje i razlikuje te pojašnjava određene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dvotočku i zarez 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jesnu i niječnu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ListParagraph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slike, ali ih samostalno ne razlikuje po vrsti, tek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pomoć se koristi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koristi aktivnim rječnikom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jezičnim vještinama,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vještinama, aktivnim 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ListParagraph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ListParagraph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ListParagraph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vrednuje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06D934D8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C1830FF" w14:textId="228E21CF" w:rsidR="00683694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određuje vrijednost nepoznatoga člana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Koristeći se vezama među računskim operacijama samostalno određuje </w:t>
            </w: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pravac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pomoć učitelja te uz podsjećanje na ispravnu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koristeći se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podsjećanje na urednost i pravilno korištenje geometrijskog pribora,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podsjećanje na urednost i pravilno korištenje geometrijskog pribora,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pojam volumena (obujma,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poticaj, u uglavnom odgovarajućem kontekstu, primjenjuje pojam volumena, 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77777777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vremenski slijed događaja na vremenskoj crti ili lenti vremena (desetljeće u životu učenika i njegove obitelji, stoljeće i tisućljeće na primjeru kulturno-povijesnih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 xml:space="preserve">prikazuje vremenski slijed događaja na vremenskoj crti ili lenti vremena (desetljeće u životu učenika i njegove obitelji, </w:t>
            </w:r>
            <w:r w:rsidRPr="00002B17">
              <w:rPr>
                <w:rFonts w:cstheme="minorHAnsi"/>
                <w:sz w:val="24"/>
                <w:szCs w:val="24"/>
              </w:rPr>
              <w:lastRenderedPageBreak/>
              <w:t>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</w:t>
            </w:r>
            <w:r w:rsidRPr="00002B17">
              <w:rPr>
                <w:rFonts w:cstheme="minorHAnsi"/>
                <w:sz w:val="24"/>
                <w:szCs w:val="24"/>
              </w:rPr>
              <w:lastRenderedPageBreak/>
              <w:t xml:space="preserve">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vremenski slijed događaja na vremenskoj crti ili lenti vremena (desetljeće u životu učenika i njegove obitelji,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vremenski slijed događaja na vremenskoj crti ili lenti vremena (desetljeće u životu učenika i njegove obitelji, stoljeće i tisućljeće na primjeru kulturno-povijesnih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Ista primjenjuje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 organizacije i označavanja prostora u izradi ili korištenju plana mjesta, čitanju geografske karte (tumač znakova, prikaz simbolima na planu mjesta i geografskoj 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okružja za očuvanje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repoznaje važnost okružja za 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okružja za očuvanje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važnost okružja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lastRenderedPageBreak/>
              <w:t xml:space="preserve">Prepoznaje važnost okružja za očuvanje tjelesnoga, ali i </w:t>
            </w:r>
            <w:r w:rsidRPr="00FB778B">
              <w:rPr>
                <w:rFonts w:cstheme="minorHAnsi"/>
              </w:rPr>
              <w:lastRenderedPageBreak/>
              <w:t>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utjecaj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prema opisima i točno navedenim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aključuje o uzrocima i posljedicama u procesima u prirodi npr. truljenja, sušenja,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događaje, osobe i promjene u zavičaju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događaje, osobe i promjene u zavičaju tijekom prošlosti i sadašnjosti služeći se kalendarom,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događaje, osobe i promjene u zavičaju tijekom prošlosti i sadašnjosti te ih predviđa u budućnosti služeći se kalendarom,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svojoj ulozi i povezanosti sa zavičajem prema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o svojoj ulozi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 svojoj ulozi 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svojoj ulozi i povezanosti sa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svojoj ulozi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Raspravlja o svojoj ulozi i povezanosti sa zavičajem prema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navodi značajne osobe i događaje iz zavičaja i objašnjava njihov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značajne osobe i događaje iz zavičaja i objašnjava njihov doprinos zavičaju i stavlja ih u povijesni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značajne osobe i događaje iz zavičaja i objašnjava njihov doprinos zavičaju i stavlja ih u povijesni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Nabraja prema predlošku načine primjere energije u zavičaju. Samostalno 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ListParagraph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77A3" w14:textId="77777777" w:rsidR="009857F5" w:rsidRDefault="009857F5" w:rsidP="00394D17">
      <w:pPr>
        <w:spacing w:after="0" w:line="240" w:lineRule="auto"/>
      </w:pPr>
      <w:r>
        <w:separator/>
      </w:r>
    </w:p>
  </w:endnote>
  <w:endnote w:type="continuationSeparator" w:id="0">
    <w:p w14:paraId="442FFB43" w14:textId="77777777" w:rsidR="009857F5" w:rsidRDefault="009857F5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582F" w14:textId="77777777" w:rsidR="009857F5" w:rsidRDefault="009857F5" w:rsidP="00394D17">
      <w:pPr>
        <w:spacing w:after="0" w:line="240" w:lineRule="auto"/>
      </w:pPr>
      <w:r>
        <w:separator/>
      </w:r>
    </w:p>
  </w:footnote>
  <w:footnote w:type="continuationSeparator" w:id="0">
    <w:p w14:paraId="5AE03A64" w14:textId="77777777" w:rsidR="009857F5" w:rsidRDefault="009857F5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677625">
    <w:abstractNumId w:val="31"/>
  </w:num>
  <w:num w:numId="2" w16cid:durableId="464781528">
    <w:abstractNumId w:val="7"/>
  </w:num>
  <w:num w:numId="3" w16cid:durableId="612326561">
    <w:abstractNumId w:val="0"/>
  </w:num>
  <w:num w:numId="4" w16cid:durableId="1090196444">
    <w:abstractNumId w:val="17"/>
  </w:num>
  <w:num w:numId="5" w16cid:durableId="1685473759">
    <w:abstractNumId w:val="20"/>
  </w:num>
  <w:num w:numId="6" w16cid:durableId="853305767">
    <w:abstractNumId w:val="13"/>
  </w:num>
  <w:num w:numId="7" w16cid:durableId="522130413">
    <w:abstractNumId w:val="24"/>
  </w:num>
  <w:num w:numId="8" w16cid:durableId="64884867">
    <w:abstractNumId w:val="12"/>
  </w:num>
  <w:num w:numId="9" w16cid:durableId="604465371">
    <w:abstractNumId w:val="35"/>
  </w:num>
  <w:num w:numId="10" w16cid:durableId="296490667">
    <w:abstractNumId w:val="32"/>
  </w:num>
  <w:num w:numId="11" w16cid:durableId="1289891914">
    <w:abstractNumId w:val="27"/>
  </w:num>
  <w:num w:numId="12" w16cid:durableId="353846990">
    <w:abstractNumId w:val="33"/>
  </w:num>
  <w:num w:numId="13" w16cid:durableId="1138912877">
    <w:abstractNumId w:val="23"/>
  </w:num>
  <w:num w:numId="14" w16cid:durableId="1586722818">
    <w:abstractNumId w:val="19"/>
  </w:num>
  <w:num w:numId="15" w16cid:durableId="1538472018">
    <w:abstractNumId w:val="6"/>
  </w:num>
  <w:num w:numId="16" w16cid:durableId="193465803">
    <w:abstractNumId w:val="10"/>
  </w:num>
  <w:num w:numId="17" w16cid:durableId="1607738600">
    <w:abstractNumId w:val="28"/>
  </w:num>
  <w:num w:numId="18" w16cid:durableId="1181703149">
    <w:abstractNumId w:val="4"/>
  </w:num>
  <w:num w:numId="19" w16cid:durableId="1800687470">
    <w:abstractNumId w:val="8"/>
  </w:num>
  <w:num w:numId="20" w16cid:durableId="1718316780">
    <w:abstractNumId w:val="5"/>
  </w:num>
  <w:num w:numId="21" w16cid:durableId="1314984745">
    <w:abstractNumId w:val="30"/>
  </w:num>
  <w:num w:numId="22" w16cid:durableId="2022655923">
    <w:abstractNumId w:val="34"/>
  </w:num>
  <w:num w:numId="23" w16cid:durableId="1668358919">
    <w:abstractNumId w:val="1"/>
  </w:num>
  <w:num w:numId="24" w16cid:durableId="1098909614">
    <w:abstractNumId w:val="22"/>
  </w:num>
  <w:num w:numId="25" w16cid:durableId="1286815459">
    <w:abstractNumId w:val="14"/>
  </w:num>
  <w:num w:numId="26" w16cid:durableId="2053769564">
    <w:abstractNumId w:val="16"/>
  </w:num>
  <w:num w:numId="27" w16cid:durableId="2040736932">
    <w:abstractNumId w:val="2"/>
  </w:num>
  <w:num w:numId="28" w16cid:durableId="308169426">
    <w:abstractNumId w:val="3"/>
  </w:num>
  <w:num w:numId="29" w16cid:durableId="577714880">
    <w:abstractNumId w:val="21"/>
  </w:num>
  <w:num w:numId="30" w16cid:durableId="1056003156">
    <w:abstractNumId w:val="29"/>
  </w:num>
  <w:num w:numId="31" w16cid:durableId="1705905964">
    <w:abstractNumId w:val="11"/>
  </w:num>
  <w:num w:numId="32" w16cid:durableId="1821845702">
    <w:abstractNumId w:val="9"/>
  </w:num>
  <w:num w:numId="33" w16cid:durableId="318776855">
    <w:abstractNumId w:val="36"/>
  </w:num>
  <w:num w:numId="34" w16cid:durableId="57678875">
    <w:abstractNumId w:val="26"/>
  </w:num>
  <w:num w:numId="35" w16cid:durableId="961960972">
    <w:abstractNumId w:val="25"/>
  </w:num>
  <w:num w:numId="36" w16cid:durableId="42488629">
    <w:abstractNumId w:val="18"/>
  </w:num>
  <w:num w:numId="37" w16cid:durableId="197016535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C7DA9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1324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05E49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857F5"/>
    <w:rsid w:val="00997EE6"/>
    <w:rsid w:val="009A0882"/>
    <w:rsid w:val="009A4737"/>
    <w:rsid w:val="009A5D71"/>
    <w:rsid w:val="009C1165"/>
    <w:rsid w:val="009C32D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96D63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05A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17"/>
  </w:style>
  <w:style w:type="paragraph" w:styleId="Footer">
    <w:name w:val="footer"/>
    <w:basedOn w:val="Normal"/>
    <w:link w:val="Foot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17"/>
  </w:style>
  <w:style w:type="table" w:styleId="TableGrid">
    <w:name w:val="Table Grid"/>
    <w:basedOn w:val="TableNormal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162E1"/>
  </w:style>
  <w:style w:type="character" w:customStyle="1" w:styleId="eop">
    <w:name w:val="eop"/>
    <w:basedOn w:val="DefaultParagraphFont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274F-6243-49D4-9EBA-C4B2DA87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24588</Words>
  <Characters>140156</Characters>
  <Application>Microsoft Office Word</Application>
  <DocSecurity>0</DocSecurity>
  <Lines>1167</Lines>
  <Paragraphs>328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Domagoj</cp:lastModifiedBy>
  <cp:revision>168</cp:revision>
  <cp:lastPrinted>2019-12-30T05:49:00Z</cp:lastPrinted>
  <dcterms:created xsi:type="dcterms:W3CDTF">2019-10-11T20:12:00Z</dcterms:created>
  <dcterms:modified xsi:type="dcterms:W3CDTF">2023-09-04T09:36:00Z</dcterms:modified>
</cp:coreProperties>
</file>